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9B" w:rsidRPr="003136F0" w:rsidRDefault="00F4749B" w:rsidP="00F712E9">
      <w:pPr>
        <w:rPr>
          <w:rFonts w:ascii="Arial" w:hAnsi="Arial" w:cs="Arial"/>
          <w:b/>
        </w:rPr>
      </w:pPr>
      <w:r w:rsidRPr="003136F0">
        <w:rPr>
          <w:rFonts w:ascii="Arial" w:hAnsi="Arial" w:cs="Arial"/>
          <w:noProof/>
          <w:lang w:eastAsia="en-GB"/>
        </w:rPr>
        <w:drawing>
          <wp:inline distT="0" distB="0" distL="0" distR="0" wp14:anchorId="6F1487C9" wp14:editId="01AA28E1">
            <wp:extent cx="1066800" cy="876161"/>
            <wp:effectExtent l="0" t="0" r="0" b="635"/>
            <wp:docPr id="2" name="Picture 2" descr="Image result for dwp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wp logo">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016"/>
                    <a:stretch/>
                  </pic:blipFill>
                  <pic:spPr bwMode="auto">
                    <a:xfrm>
                      <a:off x="0" y="0"/>
                      <a:ext cx="1081133" cy="887933"/>
                    </a:xfrm>
                    <a:prstGeom prst="rect">
                      <a:avLst/>
                    </a:prstGeom>
                    <a:noFill/>
                    <a:ln>
                      <a:noFill/>
                    </a:ln>
                    <a:extLst>
                      <a:ext uri="{53640926-AAD7-44D8-BBD7-CCE9431645EC}">
                        <a14:shadowObscured xmlns:a14="http://schemas.microsoft.com/office/drawing/2010/main"/>
                      </a:ext>
                    </a:extLst>
                  </pic:spPr>
                </pic:pic>
              </a:graphicData>
            </a:graphic>
          </wp:inline>
        </w:drawing>
      </w:r>
      <w:r w:rsidR="00A46877" w:rsidRPr="003136F0">
        <w:rPr>
          <w:rFonts w:ascii="Arial" w:hAnsi="Arial" w:cs="Arial"/>
          <w:b/>
          <w:sz w:val="32"/>
          <w:szCs w:val="32"/>
        </w:rPr>
        <w:tab/>
      </w:r>
      <w:r w:rsidR="00D311FF" w:rsidRPr="003136F0">
        <w:rPr>
          <w:rFonts w:ascii="Arial" w:hAnsi="Arial" w:cs="Arial"/>
          <w:b/>
          <w:sz w:val="32"/>
          <w:szCs w:val="32"/>
        </w:rPr>
        <w:t xml:space="preserve">PhD </w:t>
      </w:r>
      <w:r w:rsidRPr="003136F0">
        <w:rPr>
          <w:rFonts w:ascii="Arial" w:hAnsi="Arial" w:cs="Arial"/>
          <w:b/>
          <w:sz w:val="32"/>
          <w:szCs w:val="32"/>
        </w:rPr>
        <w:t>Policy Secondment</w:t>
      </w:r>
      <w:r w:rsidR="00A677D9" w:rsidRPr="003136F0">
        <w:rPr>
          <w:rFonts w:ascii="Arial" w:hAnsi="Arial" w:cs="Arial"/>
          <w:b/>
          <w:sz w:val="32"/>
          <w:szCs w:val="32"/>
        </w:rPr>
        <w:t xml:space="preserve"> </w:t>
      </w:r>
      <w:r w:rsidR="00C54E79" w:rsidRPr="003136F0">
        <w:rPr>
          <w:rFonts w:ascii="Arial" w:hAnsi="Arial" w:cs="Arial"/>
          <w:b/>
          <w:sz w:val="32"/>
          <w:szCs w:val="32"/>
        </w:rPr>
        <w:t>O</w:t>
      </w:r>
      <w:r w:rsidR="00A677D9" w:rsidRPr="003136F0">
        <w:rPr>
          <w:rFonts w:ascii="Arial" w:hAnsi="Arial" w:cs="Arial"/>
          <w:b/>
          <w:sz w:val="32"/>
          <w:szCs w:val="32"/>
        </w:rPr>
        <w:t>pportunity</w:t>
      </w:r>
    </w:p>
    <w:p w:rsidR="00A91A9A" w:rsidRDefault="00A91A9A" w:rsidP="00A46877">
      <w:pPr>
        <w:pStyle w:val="Heading2"/>
        <w:jc w:val="center"/>
        <w:rPr>
          <w:rFonts w:ascii="Arial" w:hAnsi="Arial" w:cs="Arial"/>
          <w:b/>
          <w:color w:val="auto"/>
          <w:sz w:val="24"/>
          <w:szCs w:val="24"/>
        </w:rPr>
      </w:pPr>
      <w:r>
        <w:rPr>
          <w:rFonts w:ascii="Arial" w:hAnsi="Arial" w:cs="Arial"/>
          <w:b/>
          <w:color w:val="auto"/>
          <w:sz w:val="24"/>
          <w:szCs w:val="24"/>
        </w:rPr>
        <w:t>Children</w:t>
      </w:r>
      <w:r w:rsidR="000D1D2E">
        <w:rPr>
          <w:rFonts w:ascii="Arial" w:hAnsi="Arial" w:cs="Arial"/>
          <w:b/>
          <w:color w:val="auto"/>
          <w:sz w:val="24"/>
          <w:szCs w:val="24"/>
        </w:rPr>
        <w:t>,</w:t>
      </w:r>
      <w:r>
        <w:rPr>
          <w:rFonts w:ascii="Arial" w:hAnsi="Arial" w:cs="Arial"/>
          <w:b/>
          <w:color w:val="auto"/>
          <w:sz w:val="24"/>
          <w:szCs w:val="24"/>
        </w:rPr>
        <w:t xml:space="preserve"> Families and Disadvantage Analysis Division</w:t>
      </w:r>
    </w:p>
    <w:p w:rsidR="00A46877" w:rsidRPr="003136F0" w:rsidRDefault="00A46877" w:rsidP="00A46877">
      <w:pPr>
        <w:pStyle w:val="Heading2"/>
        <w:jc w:val="center"/>
        <w:rPr>
          <w:rFonts w:ascii="Arial" w:hAnsi="Arial" w:cs="Arial"/>
          <w:b/>
          <w:color w:val="auto"/>
          <w:sz w:val="24"/>
          <w:szCs w:val="24"/>
        </w:rPr>
      </w:pPr>
      <w:r w:rsidRPr="003136F0">
        <w:rPr>
          <w:rFonts w:ascii="Arial" w:hAnsi="Arial" w:cs="Arial"/>
          <w:b/>
          <w:color w:val="auto"/>
          <w:sz w:val="24"/>
          <w:szCs w:val="24"/>
        </w:rPr>
        <w:t xml:space="preserve"> Department for Work &amp; Pensions</w:t>
      </w:r>
    </w:p>
    <w:p w:rsidR="00F4749B" w:rsidRDefault="00F4749B" w:rsidP="00F4749B">
      <w:pPr>
        <w:jc w:val="center"/>
        <w:rPr>
          <w:rFonts w:ascii="Arial" w:hAnsi="Arial" w:cs="Arial"/>
          <w:b/>
          <w:sz w:val="24"/>
          <w:szCs w:val="24"/>
        </w:rPr>
      </w:pPr>
    </w:p>
    <w:p w:rsidR="00E067B9" w:rsidRPr="00E067B9" w:rsidRDefault="00E067B9" w:rsidP="00F4749B">
      <w:pPr>
        <w:jc w:val="center"/>
        <w:rPr>
          <w:rFonts w:ascii="Arial" w:hAnsi="Arial" w:cs="Arial"/>
          <w:b/>
          <w:color w:val="365F91" w:themeColor="accent1" w:themeShade="BF"/>
          <w:sz w:val="24"/>
          <w:szCs w:val="24"/>
        </w:rPr>
      </w:pPr>
      <w:r w:rsidRPr="00E067B9">
        <w:rPr>
          <w:rFonts w:ascii="Arial" w:hAnsi="Arial" w:cs="Arial"/>
          <w:b/>
          <w:i/>
          <w:iCs/>
          <w:color w:val="365F91" w:themeColor="accent1" w:themeShade="BF"/>
          <w:sz w:val="24"/>
          <w:szCs w:val="24"/>
        </w:rPr>
        <w:t>Investigating determinants of increasing food bank usage</w:t>
      </w:r>
    </w:p>
    <w:p w:rsidR="003136F0" w:rsidRDefault="003136F0" w:rsidP="00125121">
      <w:pPr>
        <w:spacing w:after="120"/>
        <w:rPr>
          <w:rFonts w:ascii="Arial" w:hAnsi="Arial" w:cs="Arial"/>
          <w:sz w:val="24"/>
          <w:szCs w:val="24"/>
        </w:rPr>
      </w:pPr>
    </w:p>
    <w:p w:rsidR="00125121" w:rsidRPr="00A91A9A" w:rsidRDefault="00C54E79" w:rsidP="00A91A9A">
      <w:pPr>
        <w:spacing w:after="120" w:line="276" w:lineRule="auto"/>
        <w:jc w:val="both"/>
        <w:rPr>
          <w:rFonts w:ascii="Arial" w:hAnsi="Arial" w:cs="Arial"/>
          <w:sz w:val="24"/>
          <w:szCs w:val="24"/>
        </w:rPr>
      </w:pPr>
      <w:r w:rsidRPr="00A91A9A">
        <w:rPr>
          <w:rFonts w:ascii="Arial" w:hAnsi="Arial" w:cs="Arial"/>
          <w:sz w:val="24"/>
          <w:szCs w:val="24"/>
        </w:rPr>
        <w:t xml:space="preserve">The </w:t>
      </w:r>
      <w:r w:rsidR="007136D2" w:rsidRPr="00A91A9A">
        <w:rPr>
          <w:rFonts w:ascii="Arial" w:hAnsi="Arial" w:cs="Arial"/>
          <w:sz w:val="24"/>
          <w:szCs w:val="24"/>
          <w:lang w:val="en"/>
        </w:rPr>
        <w:t>Department for Work and Pensions (</w:t>
      </w:r>
      <w:r w:rsidRPr="00A91A9A">
        <w:rPr>
          <w:rFonts w:ascii="Arial" w:hAnsi="Arial" w:cs="Arial"/>
          <w:sz w:val="24"/>
          <w:szCs w:val="24"/>
        </w:rPr>
        <w:t>DWP</w:t>
      </w:r>
      <w:r w:rsidR="007136D2" w:rsidRPr="00A91A9A">
        <w:rPr>
          <w:rFonts w:ascii="Arial" w:hAnsi="Arial" w:cs="Arial"/>
          <w:sz w:val="24"/>
          <w:szCs w:val="24"/>
        </w:rPr>
        <w:t>)</w:t>
      </w:r>
      <w:r w:rsidR="00F4749B" w:rsidRPr="00A91A9A">
        <w:rPr>
          <w:rFonts w:ascii="Arial" w:hAnsi="Arial" w:cs="Arial"/>
          <w:sz w:val="24"/>
          <w:szCs w:val="24"/>
        </w:rPr>
        <w:t xml:space="preserve"> has a 3-month secondment</w:t>
      </w:r>
      <w:r w:rsidRPr="00A91A9A">
        <w:rPr>
          <w:rFonts w:ascii="Arial" w:hAnsi="Arial" w:cs="Arial"/>
          <w:sz w:val="24"/>
          <w:szCs w:val="24"/>
        </w:rPr>
        <w:t xml:space="preserve"> opportunity for </w:t>
      </w:r>
      <w:r w:rsidR="00666BB7" w:rsidRPr="00A91A9A">
        <w:rPr>
          <w:rFonts w:ascii="Arial" w:hAnsi="Arial" w:cs="Arial"/>
          <w:sz w:val="24"/>
          <w:szCs w:val="24"/>
        </w:rPr>
        <w:t xml:space="preserve">a suitably qualified and experienced </w:t>
      </w:r>
      <w:r w:rsidR="007136D2" w:rsidRPr="00A91A9A">
        <w:rPr>
          <w:rFonts w:ascii="Arial" w:hAnsi="Arial" w:cs="Arial"/>
          <w:sz w:val="24"/>
          <w:szCs w:val="24"/>
        </w:rPr>
        <w:t>doctoral</w:t>
      </w:r>
      <w:r w:rsidR="00125121" w:rsidRPr="00A91A9A">
        <w:rPr>
          <w:rFonts w:ascii="Arial" w:hAnsi="Arial" w:cs="Arial"/>
          <w:sz w:val="24"/>
          <w:szCs w:val="24"/>
        </w:rPr>
        <w:t xml:space="preserve"> student to lead on a high-priority project within a policy analysis team. The objectives of this secondment are twofold:</w:t>
      </w:r>
    </w:p>
    <w:p w:rsidR="00A46877" w:rsidRPr="00A91A9A" w:rsidRDefault="00125121" w:rsidP="00A91A9A">
      <w:pPr>
        <w:pStyle w:val="ListParagraph"/>
        <w:numPr>
          <w:ilvl w:val="0"/>
          <w:numId w:val="9"/>
        </w:numPr>
        <w:spacing w:after="120" w:line="276" w:lineRule="auto"/>
        <w:jc w:val="both"/>
        <w:rPr>
          <w:rFonts w:ascii="Arial" w:hAnsi="Arial" w:cs="Arial"/>
          <w:sz w:val="24"/>
          <w:szCs w:val="24"/>
        </w:rPr>
      </w:pPr>
      <w:r w:rsidRPr="00A91A9A">
        <w:rPr>
          <w:rFonts w:ascii="Arial" w:hAnsi="Arial" w:cs="Arial"/>
          <w:sz w:val="24"/>
          <w:szCs w:val="24"/>
        </w:rPr>
        <w:t xml:space="preserve">To offer the opportunity for a student to gain direct experience of </w:t>
      </w:r>
      <w:r w:rsidR="000F108A" w:rsidRPr="00A91A9A">
        <w:rPr>
          <w:rFonts w:ascii="Arial" w:hAnsi="Arial" w:cs="Arial"/>
          <w:sz w:val="24"/>
          <w:szCs w:val="24"/>
        </w:rPr>
        <w:t>working at the policy evidence</w:t>
      </w:r>
      <w:r w:rsidR="00A46877" w:rsidRPr="00A91A9A">
        <w:rPr>
          <w:rFonts w:ascii="Arial" w:hAnsi="Arial" w:cs="Arial"/>
          <w:sz w:val="24"/>
          <w:szCs w:val="24"/>
        </w:rPr>
        <w:t xml:space="preserve"> interface, in the heart of a high-profile </w:t>
      </w:r>
      <w:r w:rsidR="000F108A" w:rsidRPr="00A91A9A">
        <w:rPr>
          <w:rFonts w:ascii="Arial" w:hAnsi="Arial" w:cs="Arial"/>
          <w:sz w:val="24"/>
          <w:szCs w:val="24"/>
        </w:rPr>
        <w:t xml:space="preserve">analysis </w:t>
      </w:r>
      <w:r w:rsidR="00A46877" w:rsidRPr="00A91A9A">
        <w:rPr>
          <w:rFonts w:ascii="Arial" w:hAnsi="Arial" w:cs="Arial"/>
          <w:sz w:val="24"/>
          <w:szCs w:val="24"/>
        </w:rPr>
        <w:t>team.</w:t>
      </w:r>
    </w:p>
    <w:p w:rsidR="007E7B3A" w:rsidRPr="00E13ABC" w:rsidRDefault="00A46877" w:rsidP="006A6531">
      <w:pPr>
        <w:pStyle w:val="ListParagraph"/>
        <w:numPr>
          <w:ilvl w:val="0"/>
          <w:numId w:val="9"/>
        </w:numPr>
        <w:spacing w:after="120" w:line="276" w:lineRule="auto"/>
        <w:jc w:val="both"/>
        <w:rPr>
          <w:rFonts w:ascii="Arial" w:hAnsi="Arial" w:cs="Arial"/>
          <w:sz w:val="24"/>
          <w:szCs w:val="24"/>
        </w:rPr>
      </w:pPr>
      <w:r w:rsidRPr="00E13ABC">
        <w:rPr>
          <w:rFonts w:ascii="Arial" w:hAnsi="Arial" w:cs="Arial"/>
          <w:sz w:val="24"/>
          <w:szCs w:val="24"/>
        </w:rPr>
        <w:t xml:space="preserve">To offer the opportunity for a student to lead on a priority evidence review project </w:t>
      </w:r>
      <w:r w:rsidRPr="00E13ABC">
        <w:rPr>
          <w:rFonts w:ascii="Arial" w:hAnsi="Arial" w:cs="Arial"/>
          <w:b/>
          <w:sz w:val="24"/>
          <w:szCs w:val="24"/>
        </w:rPr>
        <w:t>to</w:t>
      </w:r>
      <w:r w:rsidR="000F108A" w:rsidRPr="00E13ABC">
        <w:rPr>
          <w:rFonts w:ascii="Arial" w:hAnsi="Arial" w:cs="Arial"/>
          <w:b/>
          <w:sz w:val="24"/>
          <w:szCs w:val="24"/>
        </w:rPr>
        <w:t xml:space="preserve"> </w:t>
      </w:r>
      <w:r w:rsidR="007E7B3A" w:rsidRPr="00E13ABC">
        <w:rPr>
          <w:rFonts w:ascii="Arial" w:hAnsi="Arial" w:cs="Arial"/>
          <w:b/>
          <w:iCs/>
          <w:sz w:val="24"/>
          <w:szCs w:val="24"/>
        </w:rPr>
        <w:t>determine</w:t>
      </w:r>
      <w:r w:rsidR="00E13ABC" w:rsidRPr="00E13ABC">
        <w:rPr>
          <w:rFonts w:ascii="Arial" w:hAnsi="Arial" w:cs="Arial"/>
          <w:b/>
          <w:iCs/>
          <w:sz w:val="24"/>
          <w:szCs w:val="24"/>
        </w:rPr>
        <w:t xml:space="preserve"> which factors are driving up the use of food banks. </w:t>
      </w:r>
    </w:p>
    <w:p w:rsidR="00666BB7" w:rsidRPr="000D1D2E" w:rsidRDefault="000F108A" w:rsidP="000D1D2E">
      <w:pPr>
        <w:spacing w:after="120" w:line="276" w:lineRule="auto"/>
        <w:rPr>
          <w:rFonts w:ascii="Arial" w:hAnsi="Arial" w:cs="Arial"/>
          <w:b/>
          <w:sz w:val="24"/>
          <w:szCs w:val="24"/>
        </w:rPr>
      </w:pPr>
      <w:r w:rsidRPr="000D1D2E">
        <w:rPr>
          <w:rFonts w:ascii="Arial" w:hAnsi="Arial" w:cs="Arial"/>
          <w:sz w:val="24"/>
          <w:szCs w:val="24"/>
        </w:rPr>
        <w:t xml:space="preserve">While there is </w:t>
      </w:r>
      <w:r w:rsidR="00666BB7" w:rsidRPr="000D1D2E">
        <w:rPr>
          <w:rFonts w:ascii="Arial" w:hAnsi="Arial" w:cs="Arial"/>
          <w:sz w:val="24"/>
          <w:szCs w:val="24"/>
        </w:rPr>
        <w:t xml:space="preserve">no restriction on discipline </w:t>
      </w:r>
      <w:r w:rsidRPr="000D1D2E">
        <w:rPr>
          <w:rFonts w:ascii="Arial" w:hAnsi="Arial" w:cs="Arial"/>
          <w:sz w:val="24"/>
          <w:szCs w:val="24"/>
        </w:rPr>
        <w:t>(</w:t>
      </w:r>
      <w:r w:rsidR="00666BB7" w:rsidRPr="000D1D2E">
        <w:rPr>
          <w:rFonts w:ascii="Arial" w:hAnsi="Arial" w:cs="Arial"/>
          <w:sz w:val="24"/>
          <w:szCs w:val="24"/>
        </w:rPr>
        <w:t xml:space="preserve">with applications welcome from a broad range of </w:t>
      </w:r>
      <w:r w:rsidR="007136D2" w:rsidRPr="000D1D2E">
        <w:rPr>
          <w:rFonts w:ascii="Arial" w:hAnsi="Arial" w:cs="Arial"/>
          <w:sz w:val="24"/>
          <w:szCs w:val="24"/>
        </w:rPr>
        <w:t xml:space="preserve">disciplinary </w:t>
      </w:r>
      <w:r w:rsidR="00666BB7" w:rsidRPr="000D1D2E">
        <w:rPr>
          <w:rFonts w:ascii="Arial" w:hAnsi="Arial" w:cs="Arial"/>
          <w:sz w:val="24"/>
          <w:szCs w:val="24"/>
        </w:rPr>
        <w:t>backgrounds including economics, sociology, social policy, geography, statistics, psychology</w:t>
      </w:r>
      <w:r w:rsidR="007136D2" w:rsidRPr="000D1D2E">
        <w:rPr>
          <w:rFonts w:ascii="Arial" w:hAnsi="Arial" w:cs="Arial"/>
          <w:sz w:val="24"/>
          <w:szCs w:val="24"/>
        </w:rPr>
        <w:t>, epidemiology</w:t>
      </w:r>
      <w:r w:rsidR="00666BB7" w:rsidRPr="000D1D2E">
        <w:rPr>
          <w:rFonts w:ascii="Arial" w:hAnsi="Arial" w:cs="Arial"/>
          <w:sz w:val="24"/>
          <w:szCs w:val="24"/>
        </w:rPr>
        <w:t xml:space="preserve"> or other related subjects</w:t>
      </w:r>
      <w:r w:rsidRPr="000D1D2E">
        <w:rPr>
          <w:rFonts w:ascii="Arial" w:hAnsi="Arial" w:cs="Arial"/>
          <w:sz w:val="24"/>
          <w:szCs w:val="24"/>
        </w:rPr>
        <w:t xml:space="preserve">), we are seeking a </w:t>
      </w:r>
      <w:r w:rsidR="000D1D2E" w:rsidRPr="000D1D2E">
        <w:rPr>
          <w:rFonts w:ascii="Arial" w:hAnsi="Arial" w:cs="Arial"/>
          <w:sz w:val="24"/>
          <w:szCs w:val="24"/>
        </w:rPr>
        <w:t xml:space="preserve">candidate with </w:t>
      </w:r>
      <w:r w:rsidRPr="000D1D2E">
        <w:rPr>
          <w:rFonts w:ascii="Arial" w:hAnsi="Arial" w:cs="Arial"/>
          <w:b/>
          <w:sz w:val="24"/>
          <w:szCs w:val="24"/>
        </w:rPr>
        <w:t xml:space="preserve">experience of conducting </w:t>
      </w:r>
      <w:r w:rsidR="000D1D2E" w:rsidRPr="000D1D2E">
        <w:rPr>
          <w:rFonts w:ascii="Arial" w:hAnsi="Arial" w:cs="Arial"/>
          <w:b/>
          <w:sz w:val="24"/>
          <w:szCs w:val="24"/>
        </w:rPr>
        <w:t>qualitative research, including</w:t>
      </w:r>
      <w:r w:rsidRPr="000D1D2E">
        <w:rPr>
          <w:rFonts w:ascii="Arial" w:hAnsi="Arial" w:cs="Arial"/>
          <w:b/>
          <w:sz w:val="24"/>
          <w:szCs w:val="24"/>
        </w:rPr>
        <w:t xml:space="preserve"> interviewing and</w:t>
      </w:r>
      <w:r w:rsidR="000D1D2E" w:rsidRPr="000D1D2E">
        <w:rPr>
          <w:rFonts w:ascii="Arial" w:hAnsi="Arial" w:cs="Arial"/>
          <w:b/>
          <w:sz w:val="24"/>
          <w:szCs w:val="24"/>
        </w:rPr>
        <w:t xml:space="preserve"> qualitative</w:t>
      </w:r>
      <w:r w:rsidRPr="000D1D2E">
        <w:rPr>
          <w:rFonts w:ascii="Arial" w:hAnsi="Arial" w:cs="Arial"/>
          <w:b/>
          <w:sz w:val="24"/>
          <w:szCs w:val="24"/>
        </w:rPr>
        <w:t xml:space="preserve"> analysis</w:t>
      </w:r>
      <w:r w:rsidR="00666BB7" w:rsidRPr="000D1D2E">
        <w:rPr>
          <w:rFonts w:ascii="Arial" w:hAnsi="Arial" w:cs="Arial"/>
          <w:b/>
          <w:sz w:val="24"/>
          <w:szCs w:val="24"/>
        </w:rPr>
        <w:t xml:space="preserve">. </w:t>
      </w:r>
      <w:r w:rsidR="000D1D2E" w:rsidRPr="000D1D2E">
        <w:rPr>
          <w:rFonts w:ascii="Arial" w:hAnsi="Arial" w:cs="Arial"/>
          <w:b/>
          <w:sz w:val="24"/>
          <w:szCs w:val="24"/>
        </w:rPr>
        <w:t>Experience of conducting literature reviews is also required.</w:t>
      </w:r>
      <w:r w:rsidR="00666BB7" w:rsidRPr="000D1D2E">
        <w:rPr>
          <w:rFonts w:ascii="Arial" w:hAnsi="Arial" w:cs="Arial"/>
          <w:b/>
          <w:sz w:val="24"/>
          <w:szCs w:val="24"/>
        </w:rPr>
        <w:t xml:space="preserve"> </w:t>
      </w:r>
    </w:p>
    <w:p w:rsidR="00A677D9" w:rsidRPr="003136F0" w:rsidRDefault="00A677D9" w:rsidP="00F4749B">
      <w:pPr>
        <w:pStyle w:val="Heading1"/>
        <w:rPr>
          <w:rFonts w:ascii="Arial" w:hAnsi="Arial" w:cs="Arial"/>
          <w:b/>
          <w:color w:val="auto"/>
          <w:sz w:val="28"/>
          <w:szCs w:val="28"/>
        </w:rPr>
      </w:pPr>
      <w:r w:rsidRPr="003136F0">
        <w:rPr>
          <w:rFonts w:ascii="Arial" w:hAnsi="Arial" w:cs="Arial"/>
          <w:b/>
          <w:color w:val="auto"/>
          <w:sz w:val="28"/>
          <w:szCs w:val="28"/>
        </w:rPr>
        <w:t>Analysis in DWP</w:t>
      </w:r>
    </w:p>
    <w:p w:rsidR="00A677D9" w:rsidRPr="000D1D2E" w:rsidRDefault="00A677D9" w:rsidP="000D1D2E">
      <w:pPr>
        <w:spacing w:after="120" w:line="276" w:lineRule="auto"/>
        <w:jc w:val="both"/>
        <w:rPr>
          <w:rFonts w:ascii="Arial" w:hAnsi="Arial" w:cs="Arial"/>
          <w:sz w:val="24"/>
          <w:szCs w:val="24"/>
        </w:rPr>
      </w:pPr>
      <w:r w:rsidRPr="000D1D2E">
        <w:rPr>
          <w:rFonts w:ascii="Arial" w:hAnsi="Arial" w:cs="Arial"/>
          <w:sz w:val="24"/>
          <w:szCs w:val="24"/>
        </w:rPr>
        <w:t>The Department for Work and Pensions (DWP) is responsible for welfare, pensions and child maintenance policy. As the UK’s biggest public service department it administers the State Pension and a range of working age, disability and ill health benefits to over 22 million claimants and customers.</w:t>
      </w:r>
    </w:p>
    <w:p w:rsidR="00A677D9" w:rsidRPr="000D1D2E" w:rsidRDefault="00A677D9" w:rsidP="000D1D2E">
      <w:pPr>
        <w:spacing w:after="120" w:line="276" w:lineRule="auto"/>
        <w:jc w:val="both"/>
        <w:rPr>
          <w:rFonts w:ascii="Arial" w:hAnsi="Arial" w:cs="Arial"/>
          <w:sz w:val="24"/>
          <w:szCs w:val="24"/>
        </w:rPr>
      </w:pPr>
      <w:r w:rsidRPr="000D1D2E">
        <w:rPr>
          <w:rFonts w:ascii="Arial" w:hAnsi="Arial" w:cs="Arial"/>
          <w:sz w:val="24"/>
          <w:szCs w:val="24"/>
        </w:rPr>
        <w:t xml:space="preserve">The </w:t>
      </w:r>
      <w:r w:rsidR="007136D2" w:rsidRPr="000D1D2E">
        <w:rPr>
          <w:rFonts w:ascii="Arial" w:hAnsi="Arial" w:cs="Arial"/>
          <w:sz w:val="24"/>
          <w:szCs w:val="24"/>
        </w:rPr>
        <w:t xml:space="preserve">Department </w:t>
      </w:r>
      <w:r w:rsidRPr="000D1D2E">
        <w:rPr>
          <w:rFonts w:ascii="Arial" w:hAnsi="Arial" w:cs="Arial"/>
          <w:sz w:val="24"/>
          <w:szCs w:val="24"/>
        </w:rPr>
        <w:t>is a large employer and offers many opportunities for graduate and post graduate analysts who are employe</w:t>
      </w:r>
      <w:r w:rsidR="000D1D2E">
        <w:rPr>
          <w:rFonts w:ascii="Arial" w:hAnsi="Arial" w:cs="Arial"/>
          <w:sz w:val="24"/>
          <w:szCs w:val="24"/>
        </w:rPr>
        <w:t xml:space="preserve">d as government specialists. </w:t>
      </w:r>
      <w:r w:rsidRPr="000D1D2E">
        <w:rPr>
          <w:rFonts w:ascii="Arial" w:hAnsi="Arial" w:cs="Arial"/>
          <w:sz w:val="24"/>
          <w:szCs w:val="24"/>
        </w:rPr>
        <w:t>Analysts in government work closely with policy makers at all levels including government ministers.  Therefore their work has a great deal of influence over policy and can have a substantial impact on the liv</w:t>
      </w:r>
      <w:r w:rsidR="00C54E79" w:rsidRPr="000D1D2E">
        <w:rPr>
          <w:rFonts w:ascii="Arial" w:hAnsi="Arial" w:cs="Arial"/>
          <w:sz w:val="24"/>
          <w:szCs w:val="24"/>
        </w:rPr>
        <w:t xml:space="preserve">es of large numbers of people. </w:t>
      </w:r>
      <w:r w:rsidRPr="000D1D2E">
        <w:rPr>
          <w:rFonts w:ascii="Arial" w:hAnsi="Arial" w:cs="Arial"/>
          <w:sz w:val="24"/>
          <w:szCs w:val="24"/>
        </w:rPr>
        <w:t>This is especially true of DWP analysts who work in the evaluation and analysis of very large programmes impacting on labour market policy, poverty reduction, disability, ageing society and welfare reform.</w:t>
      </w:r>
    </w:p>
    <w:p w:rsidR="00A677D9" w:rsidRPr="000D1D2E" w:rsidRDefault="00A677D9" w:rsidP="000D1D2E">
      <w:pPr>
        <w:spacing w:after="120" w:line="276" w:lineRule="auto"/>
        <w:jc w:val="both"/>
        <w:rPr>
          <w:rFonts w:ascii="Arial" w:hAnsi="Arial" w:cs="Arial"/>
          <w:sz w:val="24"/>
          <w:szCs w:val="24"/>
        </w:rPr>
      </w:pPr>
      <w:r w:rsidRPr="000D1D2E">
        <w:rPr>
          <w:rFonts w:ascii="Arial" w:hAnsi="Arial" w:cs="Arial"/>
          <w:sz w:val="24"/>
          <w:szCs w:val="24"/>
        </w:rPr>
        <w:t>The analytical community in DWP is large an</w:t>
      </w:r>
      <w:r w:rsidR="000D1D2E">
        <w:rPr>
          <w:rFonts w:ascii="Arial" w:hAnsi="Arial" w:cs="Arial"/>
          <w:sz w:val="24"/>
          <w:szCs w:val="24"/>
        </w:rPr>
        <w:t>d multi-disciplinary with over 5</w:t>
      </w:r>
      <w:r w:rsidRPr="000D1D2E">
        <w:rPr>
          <w:rFonts w:ascii="Arial" w:hAnsi="Arial" w:cs="Arial"/>
          <w:sz w:val="24"/>
          <w:szCs w:val="24"/>
        </w:rPr>
        <w:t>00 members split between four core professions; Social Researchers, Economists</w:t>
      </w:r>
      <w:r w:rsidR="00C54E79" w:rsidRPr="000D1D2E">
        <w:rPr>
          <w:rFonts w:ascii="Arial" w:hAnsi="Arial" w:cs="Arial"/>
          <w:sz w:val="24"/>
          <w:szCs w:val="24"/>
        </w:rPr>
        <w:t>,</w:t>
      </w:r>
      <w:r w:rsidRPr="000D1D2E">
        <w:rPr>
          <w:rFonts w:ascii="Arial" w:hAnsi="Arial" w:cs="Arial"/>
          <w:sz w:val="24"/>
          <w:szCs w:val="24"/>
        </w:rPr>
        <w:t xml:space="preserve"> Operational Researchers and Statisticians.</w:t>
      </w:r>
      <w:r w:rsidR="009062A7" w:rsidRPr="000D1D2E">
        <w:rPr>
          <w:rFonts w:ascii="Arial" w:hAnsi="Arial" w:cs="Arial"/>
          <w:sz w:val="24"/>
          <w:szCs w:val="24"/>
        </w:rPr>
        <w:t xml:space="preserve"> </w:t>
      </w:r>
      <w:r w:rsidR="007136D2" w:rsidRPr="000D1D2E">
        <w:rPr>
          <w:rFonts w:ascii="Arial" w:hAnsi="Arial" w:cs="Arial"/>
          <w:sz w:val="24"/>
          <w:szCs w:val="24"/>
        </w:rPr>
        <w:t xml:space="preserve">The Department also employs a growing number of data scientists; and expert advisers in Behavioural Science, Psychology and Medicine. </w:t>
      </w:r>
      <w:r w:rsidRPr="000D1D2E">
        <w:rPr>
          <w:rFonts w:ascii="Arial" w:hAnsi="Arial" w:cs="Arial"/>
          <w:sz w:val="24"/>
          <w:szCs w:val="24"/>
        </w:rPr>
        <w:t xml:space="preserve">Many analysts join the </w:t>
      </w:r>
      <w:r w:rsidR="007136D2" w:rsidRPr="000D1D2E">
        <w:rPr>
          <w:rFonts w:ascii="Arial" w:hAnsi="Arial" w:cs="Arial"/>
          <w:sz w:val="24"/>
          <w:szCs w:val="24"/>
        </w:rPr>
        <w:t xml:space="preserve">Department </w:t>
      </w:r>
      <w:r w:rsidRPr="000D1D2E">
        <w:rPr>
          <w:rFonts w:ascii="Arial" w:hAnsi="Arial" w:cs="Arial"/>
          <w:sz w:val="24"/>
          <w:szCs w:val="24"/>
        </w:rPr>
        <w:t xml:space="preserve">having completed postgraduate degrees and doctorates, attracted by the excellent opportunities for professional development and promotion within the Civil Service. </w:t>
      </w:r>
    </w:p>
    <w:p w:rsidR="00A677D9" w:rsidRPr="000D1D2E" w:rsidRDefault="00A677D9" w:rsidP="000D1D2E">
      <w:pPr>
        <w:spacing w:after="120" w:line="276" w:lineRule="auto"/>
        <w:jc w:val="both"/>
        <w:rPr>
          <w:rFonts w:ascii="Arial" w:hAnsi="Arial" w:cs="Arial"/>
          <w:sz w:val="24"/>
          <w:szCs w:val="24"/>
        </w:rPr>
      </w:pPr>
      <w:r w:rsidRPr="000D1D2E">
        <w:rPr>
          <w:rFonts w:ascii="Arial" w:hAnsi="Arial" w:cs="Arial"/>
          <w:sz w:val="24"/>
          <w:szCs w:val="24"/>
        </w:rPr>
        <w:lastRenderedPageBreak/>
        <w:t xml:space="preserve">Analysts in DWP are split between four main sites: Leeds, London, Newcastle and Sheffield.  Analysts at these sites can work on a variety of topics and areas of work are not restricted by site.  </w:t>
      </w:r>
    </w:p>
    <w:p w:rsidR="00A677D9" w:rsidRPr="003136F0" w:rsidRDefault="00A91A9A" w:rsidP="00F4749B">
      <w:pPr>
        <w:pStyle w:val="Heading1"/>
        <w:rPr>
          <w:rFonts w:ascii="Arial" w:hAnsi="Arial" w:cs="Arial"/>
          <w:b/>
          <w:color w:val="auto"/>
          <w:sz w:val="28"/>
        </w:rPr>
      </w:pPr>
      <w:r>
        <w:rPr>
          <w:rFonts w:ascii="Arial" w:hAnsi="Arial" w:cs="Arial"/>
          <w:b/>
          <w:color w:val="auto"/>
          <w:sz w:val="28"/>
        </w:rPr>
        <w:t xml:space="preserve">Main </w:t>
      </w:r>
      <w:r w:rsidR="00C54E79" w:rsidRPr="003136F0">
        <w:rPr>
          <w:rFonts w:ascii="Arial" w:hAnsi="Arial" w:cs="Arial"/>
          <w:b/>
          <w:color w:val="auto"/>
          <w:sz w:val="28"/>
        </w:rPr>
        <w:t>R</w:t>
      </w:r>
      <w:r w:rsidR="00A677D9" w:rsidRPr="003136F0">
        <w:rPr>
          <w:rFonts w:ascii="Arial" w:hAnsi="Arial" w:cs="Arial"/>
          <w:b/>
          <w:color w:val="auto"/>
          <w:sz w:val="28"/>
        </w:rPr>
        <w:t>ole</w:t>
      </w:r>
    </w:p>
    <w:p w:rsidR="00E13ABC" w:rsidRPr="00E13ABC" w:rsidRDefault="00666BB7" w:rsidP="00E13ABC">
      <w:pPr>
        <w:spacing w:after="120" w:line="276" w:lineRule="auto"/>
        <w:jc w:val="both"/>
        <w:rPr>
          <w:rFonts w:ascii="Arial" w:hAnsi="Arial" w:cs="Arial"/>
          <w:sz w:val="24"/>
          <w:szCs w:val="24"/>
        </w:rPr>
      </w:pPr>
      <w:r w:rsidRPr="00E13ABC">
        <w:rPr>
          <w:rFonts w:ascii="Arial" w:hAnsi="Arial" w:cs="Arial"/>
          <w:sz w:val="24"/>
          <w:szCs w:val="24"/>
        </w:rPr>
        <w:t xml:space="preserve">The successful applicant will </w:t>
      </w:r>
      <w:r w:rsidR="000D1D2E">
        <w:rPr>
          <w:rFonts w:ascii="Arial" w:hAnsi="Arial" w:cs="Arial"/>
          <w:sz w:val="24"/>
          <w:szCs w:val="24"/>
        </w:rPr>
        <w:t xml:space="preserve">work alongside </w:t>
      </w:r>
      <w:r w:rsidR="000F108A" w:rsidRPr="00E13ABC">
        <w:rPr>
          <w:rFonts w:ascii="Arial" w:hAnsi="Arial" w:cs="Arial"/>
          <w:sz w:val="24"/>
          <w:szCs w:val="24"/>
        </w:rPr>
        <w:t xml:space="preserve">senior </w:t>
      </w:r>
      <w:r w:rsidR="000D1D2E">
        <w:rPr>
          <w:rFonts w:ascii="Arial" w:hAnsi="Arial" w:cs="Arial"/>
          <w:sz w:val="24"/>
          <w:szCs w:val="24"/>
        </w:rPr>
        <w:t xml:space="preserve">policy </w:t>
      </w:r>
      <w:r w:rsidR="000F108A" w:rsidRPr="00E13ABC">
        <w:rPr>
          <w:rFonts w:ascii="Arial" w:hAnsi="Arial" w:cs="Arial"/>
          <w:sz w:val="24"/>
          <w:szCs w:val="24"/>
        </w:rPr>
        <w:t>analysts</w:t>
      </w:r>
      <w:r w:rsidR="00A91A9A" w:rsidRPr="00E13ABC">
        <w:rPr>
          <w:rFonts w:ascii="Arial" w:hAnsi="Arial" w:cs="Arial"/>
          <w:sz w:val="24"/>
          <w:szCs w:val="24"/>
        </w:rPr>
        <w:t xml:space="preserve"> </w:t>
      </w:r>
      <w:r w:rsidR="000D1D2E">
        <w:rPr>
          <w:rFonts w:ascii="Arial" w:hAnsi="Arial" w:cs="Arial"/>
          <w:sz w:val="24"/>
          <w:szCs w:val="24"/>
        </w:rPr>
        <w:t xml:space="preserve">to </w:t>
      </w:r>
      <w:r w:rsidR="00E13ABC" w:rsidRPr="00E13ABC">
        <w:rPr>
          <w:rFonts w:ascii="Arial" w:hAnsi="Arial" w:cs="Arial"/>
          <w:sz w:val="24"/>
          <w:szCs w:val="24"/>
        </w:rPr>
        <w:t>manage</w:t>
      </w:r>
      <w:r w:rsidR="00E13ABC">
        <w:rPr>
          <w:rFonts w:ascii="Arial" w:hAnsi="Arial" w:cs="Arial"/>
          <w:sz w:val="24"/>
          <w:szCs w:val="24"/>
        </w:rPr>
        <w:t xml:space="preserve"> </w:t>
      </w:r>
      <w:r w:rsidR="000D1D2E">
        <w:rPr>
          <w:rFonts w:ascii="Arial" w:hAnsi="Arial" w:cs="Arial"/>
          <w:sz w:val="24"/>
          <w:szCs w:val="24"/>
        </w:rPr>
        <w:t>a</w:t>
      </w:r>
      <w:r w:rsidR="00E13ABC" w:rsidRPr="00E13ABC">
        <w:rPr>
          <w:rFonts w:ascii="Arial" w:hAnsi="Arial" w:cs="Arial"/>
          <w:sz w:val="24"/>
          <w:szCs w:val="24"/>
        </w:rPr>
        <w:t xml:space="preserve"> </w:t>
      </w:r>
      <w:r w:rsidR="000F108A" w:rsidRPr="00E13ABC">
        <w:rPr>
          <w:rFonts w:ascii="Arial" w:hAnsi="Arial" w:cs="Arial"/>
          <w:sz w:val="24"/>
          <w:szCs w:val="24"/>
        </w:rPr>
        <w:t xml:space="preserve">high-priority research </w:t>
      </w:r>
      <w:r w:rsidR="00E13ABC">
        <w:rPr>
          <w:rFonts w:ascii="Arial" w:hAnsi="Arial" w:cs="Arial"/>
          <w:sz w:val="24"/>
          <w:szCs w:val="24"/>
        </w:rPr>
        <w:t xml:space="preserve">project </w:t>
      </w:r>
      <w:r w:rsidR="001E1941" w:rsidRPr="00E13ABC">
        <w:rPr>
          <w:rFonts w:ascii="Arial" w:hAnsi="Arial" w:cs="Arial"/>
          <w:sz w:val="24"/>
          <w:szCs w:val="24"/>
        </w:rPr>
        <w:t>to</w:t>
      </w:r>
      <w:r w:rsidR="00E13ABC">
        <w:rPr>
          <w:rFonts w:ascii="Arial" w:hAnsi="Arial" w:cs="Arial"/>
          <w:sz w:val="24"/>
          <w:szCs w:val="24"/>
        </w:rPr>
        <w:t xml:space="preserve"> help </w:t>
      </w:r>
      <w:r w:rsidR="00E13ABC" w:rsidRPr="00E13ABC">
        <w:rPr>
          <w:rFonts w:ascii="Arial" w:hAnsi="Arial" w:cs="Arial"/>
          <w:sz w:val="24"/>
          <w:szCs w:val="24"/>
        </w:rPr>
        <w:t xml:space="preserve">determine which factors are driving up the use of food banks. </w:t>
      </w:r>
    </w:p>
    <w:p w:rsidR="000F108A" w:rsidRPr="003136F0" w:rsidRDefault="000F108A" w:rsidP="000F108A">
      <w:pPr>
        <w:spacing w:after="120" w:line="276" w:lineRule="auto"/>
        <w:jc w:val="both"/>
        <w:rPr>
          <w:rFonts w:ascii="Arial" w:hAnsi="Arial" w:cs="Arial"/>
          <w:sz w:val="24"/>
          <w:szCs w:val="24"/>
        </w:rPr>
      </w:pPr>
      <w:r w:rsidRPr="003136F0">
        <w:rPr>
          <w:rFonts w:ascii="Arial" w:hAnsi="Arial" w:cs="Arial"/>
          <w:sz w:val="24"/>
          <w:szCs w:val="24"/>
        </w:rPr>
        <w:t xml:space="preserve">The work will offer a range of opportunities to enhance research and analytical skills, including evidence synthesis and policy translation.  </w:t>
      </w:r>
    </w:p>
    <w:p w:rsidR="008A375B" w:rsidRDefault="000F108A" w:rsidP="000F108A">
      <w:pPr>
        <w:spacing w:after="120" w:line="276" w:lineRule="auto"/>
        <w:jc w:val="both"/>
        <w:rPr>
          <w:rFonts w:ascii="Arial" w:hAnsi="Arial" w:cs="Arial"/>
          <w:sz w:val="24"/>
          <w:szCs w:val="24"/>
        </w:rPr>
      </w:pPr>
      <w:r>
        <w:rPr>
          <w:rFonts w:ascii="Arial" w:hAnsi="Arial" w:cs="Arial"/>
          <w:sz w:val="24"/>
          <w:szCs w:val="24"/>
        </w:rPr>
        <w:t xml:space="preserve">The successful </w:t>
      </w:r>
      <w:r w:rsidRPr="003136F0">
        <w:rPr>
          <w:rFonts w:ascii="Arial" w:hAnsi="Arial" w:cs="Arial"/>
          <w:sz w:val="24"/>
          <w:szCs w:val="24"/>
        </w:rPr>
        <w:t xml:space="preserve">applicant </w:t>
      </w:r>
      <w:r>
        <w:rPr>
          <w:rFonts w:ascii="Arial" w:hAnsi="Arial" w:cs="Arial"/>
          <w:sz w:val="24"/>
          <w:szCs w:val="24"/>
        </w:rPr>
        <w:t xml:space="preserve">will also have the </w:t>
      </w:r>
      <w:r w:rsidRPr="003136F0">
        <w:rPr>
          <w:rFonts w:ascii="Arial" w:hAnsi="Arial" w:cs="Arial"/>
          <w:sz w:val="24"/>
          <w:szCs w:val="24"/>
        </w:rPr>
        <w:t xml:space="preserve">opportunity to inform the development of policy at a senior level in government. The post-holder </w:t>
      </w:r>
      <w:r w:rsidR="008A375B">
        <w:rPr>
          <w:rFonts w:ascii="Arial" w:hAnsi="Arial" w:cs="Arial"/>
          <w:sz w:val="24"/>
          <w:szCs w:val="24"/>
        </w:rPr>
        <w:t xml:space="preserve">will </w:t>
      </w:r>
      <w:r>
        <w:rPr>
          <w:rFonts w:ascii="Arial" w:hAnsi="Arial" w:cs="Arial"/>
          <w:sz w:val="24"/>
          <w:szCs w:val="24"/>
        </w:rPr>
        <w:t>work within</w:t>
      </w:r>
      <w:r w:rsidRPr="003136F0">
        <w:rPr>
          <w:rFonts w:ascii="Arial" w:hAnsi="Arial" w:cs="Arial"/>
          <w:sz w:val="24"/>
          <w:szCs w:val="24"/>
        </w:rPr>
        <w:t xml:space="preserve"> a busy</w:t>
      </w:r>
      <w:r w:rsidR="008A375B">
        <w:rPr>
          <w:rFonts w:ascii="Arial" w:hAnsi="Arial" w:cs="Arial"/>
          <w:sz w:val="24"/>
          <w:szCs w:val="24"/>
        </w:rPr>
        <w:t xml:space="preserve"> analysis </w:t>
      </w:r>
      <w:r w:rsidRPr="003136F0">
        <w:rPr>
          <w:rFonts w:ascii="Arial" w:hAnsi="Arial" w:cs="Arial"/>
          <w:sz w:val="24"/>
          <w:szCs w:val="24"/>
        </w:rPr>
        <w:t xml:space="preserve">team, offering the opportunity to directly experience the generation and use of evidence in the policy-making process. </w:t>
      </w:r>
    </w:p>
    <w:p w:rsidR="000F108A" w:rsidRPr="003136F0" w:rsidRDefault="000F108A" w:rsidP="000F108A">
      <w:pPr>
        <w:spacing w:after="120" w:line="276" w:lineRule="auto"/>
        <w:jc w:val="both"/>
        <w:rPr>
          <w:rFonts w:ascii="Arial" w:hAnsi="Arial" w:cs="Arial"/>
          <w:sz w:val="24"/>
          <w:szCs w:val="24"/>
        </w:rPr>
      </w:pPr>
      <w:r w:rsidRPr="003136F0">
        <w:rPr>
          <w:rFonts w:ascii="Arial" w:hAnsi="Arial" w:cs="Arial"/>
          <w:sz w:val="24"/>
          <w:szCs w:val="24"/>
        </w:rPr>
        <w:t>The student will also benefit from development opportunities offered centrally by the DWP Analytical Community, including spot mentoring, shadowing and peer support.</w:t>
      </w:r>
    </w:p>
    <w:p w:rsidR="00A677D9" w:rsidRPr="003136F0" w:rsidRDefault="00A677D9" w:rsidP="00F4749B">
      <w:pPr>
        <w:pStyle w:val="Heading1"/>
        <w:rPr>
          <w:rFonts w:ascii="Arial" w:hAnsi="Arial" w:cs="Arial"/>
          <w:b/>
          <w:color w:val="auto"/>
          <w:sz w:val="28"/>
        </w:rPr>
      </w:pPr>
      <w:r w:rsidRPr="003136F0">
        <w:rPr>
          <w:rFonts w:ascii="Arial" w:hAnsi="Arial" w:cs="Arial"/>
          <w:b/>
          <w:color w:val="auto"/>
          <w:sz w:val="28"/>
        </w:rPr>
        <w:t>Essential skills</w:t>
      </w:r>
    </w:p>
    <w:p w:rsidR="00885C08" w:rsidRPr="003136F0" w:rsidRDefault="00885C08" w:rsidP="00A91A9A">
      <w:pPr>
        <w:spacing w:line="276" w:lineRule="auto"/>
        <w:rPr>
          <w:rFonts w:ascii="Arial" w:hAnsi="Arial" w:cs="Arial"/>
          <w:sz w:val="24"/>
          <w:szCs w:val="24"/>
        </w:rPr>
      </w:pPr>
      <w:r w:rsidRPr="003136F0">
        <w:rPr>
          <w:rFonts w:ascii="Arial" w:hAnsi="Arial" w:cs="Arial"/>
          <w:sz w:val="24"/>
          <w:szCs w:val="24"/>
        </w:rPr>
        <w:t xml:space="preserve">We are looking for </w:t>
      </w:r>
      <w:r w:rsidR="007043FE" w:rsidRPr="003136F0">
        <w:rPr>
          <w:rFonts w:ascii="Arial" w:hAnsi="Arial" w:cs="Arial"/>
          <w:sz w:val="24"/>
          <w:szCs w:val="24"/>
        </w:rPr>
        <w:t xml:space="preserve">current </w:t>
      </w:r>
      <w:r w:rsidR="006555A9" w:rsidRPr="003136F0">
        <w:rPr>
          <w:rFonts w:ascii="Arial" w:hAnsi="Arial" w:cs="Arial"/>
          <w:sz w:val="24"/>
          <w:szCs w:val="24"/>
        </w:rPr>
        <w:t>PhD students</w:t>
      </w:r>
      <w:r w:rsidRPr="003136F0">
        <w:rPr>
          <w:rFonts w:ascii="Arial" w:hAnsi="Arial" w:cs="Arial"/>
          <w:sz w:val="24"/>
          <w:szCs w:val="24"/>
        </w:rPr>
        <w:t xml:space="preserve"> who have the following skills/experience:</w:t>
      </w:r>
    </w:p>
    <w:p w:rsidR="00344132" w:rsidRPr="000D1D2E" w:rsidRDefault="00344132" w:rsidP="00E13ABC">
      <w:pPr>
        <w:pStyle w:val="ListParagraph"/>
        <w:numPr>
          <w:ilvl w:val="0"/>
          <w:numId w:val="4"/>
        </w:numPr>
        <w:spacing w:after="200" w:line="276" w:lineRule="auto"/>
        <w:rPr>
          <w:rFonts w:ascii="Arial" w:hAnsi="Arial" w:cs="Arial"/>
          <w:sz w:val="24"/>
          <w:szCs w:val="24"/>
        </w:rPr>
      </w:pPr>
      <w:r w:rsidRPr="000D1D2E">
        <w:rPr>
          <w:rFonts w:ascii="Arial" w:hAnsi="Arial" w:cs="Arial"/>
          <w:sz w:val="24"/>
          <w:szCs w:val="24"/>
        </w:rPr>
        <w:t>Qualitative interviewing skills</w:t>
      </w:r>
    </w:p>
    <w:p w:rsidR="000D1D2E" w:rsidRPr="003136F0" w:rsidRDefault="000D1D2E" w:rsidP="000D1D2E">
      <w:pPr>
        <w:pStyle w:val="ListParagraph"/>
        <w:numPr>
          <w:ilvl w:val="0"/>
          <w:numId w:val="4"/>
        </w:numPr>
        <w:spacing w:after="200" w:line="276" w:lineRule="auto"/>
        <w:rPr>
          <w:rFonts w:ascii="Arial" w:hAnsi="Arial" w:cs="Arial"/>
          <w:sz w:val="24"/>
          <w:szCs w:val="24"/>
        </w:rPr>
      </w:pPr>
      <w:r>
        <w:rPr>
          <w:rFonts w:ascii="Arial" w:hAnsi="Arial" w:cs="Arial"/>
          <w:sz w:val="24"/>
          <w:szCs w:val="24"/>
        </w:rPr>
        <w:t>Qualitative a</w:t>
      </w:r>
      <w:r w:rsidRPr="003136F0">
        <w:rPr>
          <w:rFonts w:ascii="Arial" w:hAnsi="Arial" w:cs="Arial"/>
          <w:sz w:val="24"/>
          <w:szCs w:val="24"/>
        </w:rPr>
        <w:t xml:space="preserve">nalysis skills </w:t>
      </w:r>
    </w:p>
    <w:p w:rsidR="00E13ABC" w:rsidRPr="003136F0" w:rsidRDefault="00E13ABC" w:rsidP="00E13ABC">
      <w:pPr>
        <w:pStyle w:val="ListParagraph"/>
        <w:numPr>
          <w:ilvl w:val="0"/>
          <w:numId w:val="4"/>
        </w:numPr>
        <w:spacing w:after="200" w:line="276" w:lineRule="auto"/>
        <w:rPr>
          <w:rFonts w:ascii="Arial" w:hAnsi="Arial" w:cs="Arial"/>
          <w:sz w:val="24"/>
          <w:szCs w:val="24"/>
        </w:rPr>
      </w:pPr>
      <w:r w:rsidRPr="003136F0">
        <w:rPr>
          <w:rFonts w:ascii="Arial" w:hAnsi="Arial" w:cs="Arial"/>
          <w:sz w:val="24"/>
          <w:szCs w:val="24"/>
        </w:rPr>
        <w:t xml:space="preserve">Research project planning </w:t>
      </w:r>
    </w:p>
    <w:p w:rsidR="007026B6" w:rsidRPr="003136F0" w:rsidRDefault="007026B6" w:rsidP="00A91A9A">
      <w:pPr>
        <w:pStyle w:val="ListParagraph"/>
        <w:numPr>
          <w:ilvl w:val="0"/>
          <w:numId w:val="4"/>
        </w:numPr>
        <w:spacing w:line="276" w:lineRule="auto"/>
        <w:rPr>
          <w:rFonts w:ascii="Arial" w:hAnsi="Arial" w:cs="Arial"/>
          <w:sz w:val="24"/>
          <w:szCs w:val="24"/>
        </w:rPr>
      </w:pPr>
      <w:r w:rsidRPr="003136F0">
        <w:rPr>
          <w:rFonts w:ascii="Arial" w:hAnsi="Arial" w:cs="Arial"/>
          <w:sz w:val="24"/>
          <w:szCs w:val="24"/>
        </w:rPr>
        <w:t>Experience of conducting literature reviews and awareness of systematic reviews</w:t>
      </w:r>
    </w:p>
    <w:p w:rsidR="007026B6" w:rsidRPr="003136F0" w:rsidRDefault="007026B6" w:rsidP="00A91A9A">
      <w:pPr>
        <w:pStyle w:val="ListParagraph"/>
        <w:numPr>
          <w:ilvl w:val="0"/>
          <w:numId w:val="4"/>
        </w:numPr>
        <w:spacing w:line="276" w:lineRule="auto"/>
        <w:rPr>
          <w:rFonts w:ascii="Arial" w:hAnsi="Arial" w:cs="Arial"/>
          <w:sz w:val="24"/>
          <w:szCs w:val="24"/>
        </w:rPr>
      </w:pPr>
      <w:r w:rsidRPr="003136F0">
        <w:rPr>
          <w:rFonts w:ascii="Arial" w:hAnsi="Arial" w:cs="Arial"/>
          <w:sz w:val="24"/>
          <w:szCs w:val="24"/>
        </w:rPr>
        <w:t>Evidence assimilation and synthesis</w:t>
      </w:r>
    </w:p>
    <w:p w:rsidR="007026B6" w:rsidRPr="003136F0" w:rsidRDefault="007026B6" w:rsidP="00A91A9A">
      <w:pPr>
        <w:pStyle w:val="ListParagraph"/>
        <w:numPr>
          <w:ilvl w:val="0"/>
          <w:numId w:val="4"/>
        </w:numPr>
        <w:spacing w:after="200" w:line="276" w:lineRule="auto"/>
        <w:rPr>
          <w:rFonts w:ascii="Arial" w:hAnsi="Arial" w:cs="Arial"/>
          <w:sz w:val="24"/>
          <w:szCs w:val="24"/>
        </w:rPr>
      </w:pPr>
      <w:r w:rsidRPr="003136F0">
        <w:rPr>
          <w:rFonts w:ascii="Arial" w:hAnsi="Arial" w:cs="Arial"/>
          <w:sz w:val="24"/>
          <w:szCs w:val="24"/>
        </w:rPr>
        <w:t>Strong drafting and writing skills</w:t>
      </w:r>
    </w:p>
    <w:p w:rsidR="007026B6" w:rsidRDefault="007026B6" w:rsidP="00A91A9A">
      <w:pPr>
        <w:pStyle w:val="ListParagraph"/>
        <w:numPr>
          <w:ilvl w:val="0"/>
          <w:numId w:val="4"/>
        </w:numPr>
        <w:spacing w:after="200" w:line="276" w:lineRule="auto"/>
        <w:rPr>
          <w:rFonts w:ascii="Arial" w:hAnsi="Arial" w:cs="Arial"/>
          <w:sz w:val="24"/>
          <w:szCs w:val="24"/>
        </w:rPr>
      </w:pPr>
      <w:r w:rsidRPr="003136F0">
        <w:rPr>
          <w:rFonts w:ascii="Arial" w:hAnsi="Arial" w:cs="Arial"/>
          <w:sz w:val="24"/>
          <w:szCs w:val="24"/>
        </w:rPr>
        <w:t>Strong presentation and communication skills</w:t>
      </w:r>
    </w:p>
    <w:p w:rsidR="007026B6" w:rsidRPr="003136F0" w:rsidRDefault="007026B6" w:rsidP="00C54E79">
      <w:pPr>
        <w:spacing w:after="200" w:line="276" w:lineRule="auto"/>
        <w:rPr>
          <w:rFonts w:ascii="Arial" w:hAnsi="Arial" w:cs="Arial"/>
          <w:sz w:val="24"/>
          <w:szCs w:val="24"/>
        </w:rPr>
      </w:pPr>
      <w:r w:rsidRPr="003136F0">
        <w:rPr>
          <w:rFonts w:ascii="Arial" w:hAnsi="Arial" w:cs="Arial"/>
          <w:sz w:val="24"/>
          <w:szCs w:val="24"/>
        </w:rPr>
        <w:t xml:space="preserve">Whilst not essential to the post, some understanding of the </w:t>
      </w:r>
      <w:proofErr w:type="spellStart"/>
      <w:r w:rsidR="00E13ABC">
        <w:rPr>
          <w:rFonts w:ascii="Arial" w:hAnsi="Arial" w:cs="Arial"/>
          <w:sz w:val="24"/>
          <w:szCs w:val="24"/>
        </w:rPr>
        <w:t>foodbank</w:t>
      </w:r>
      <w:proofErr w:type="spellEnd"/>
      <w:r w:rsidR="00E13ABC">
        <w:rPr>
          <w:rFonts w:ascii="Arial" w:hAnsi="Arial" w:cs="Arial"/>
          <w:sz w:val="24"/>
          <w:szCs w:val="24"/>
        </w:rPr>
        <w:t xml:space="preserve"> research </w:t>
      </w:r>
      <w:r w:rsidR="000D1D2E">
        <w:rPr>
          <w:rFonts w:ascii="Arial" w:hAnsi="Arial" w:cs="Arial"/>
          <w:sz w:val="24"/>
          <w:szCs w:val="24"/>
        </w:rPr>
        <w:t xml:space="preserve">literature </w:t>
      </w:r>
      <w:r w:rsidR="00C54E79" w:rsidRPr="003136F0">
        <w:rPr>
          <w:rFonts w:ascii="Arial" w:hAnsi="Arial" w:cs="Arial"/>
          <w:sz w:val="24"/>
          <w:szCs w:val="24"/>
        </w:rPr>
        <w:t>would be beneficial.</w:t>
      </w:r>
    </w:p>
    <w:p w:rsidR="00A677D9" w:rsidRPr="003136F0" w:rsidRDefault="00E2370B" w:rsidP="00F4749B">
      <w:pPr>
        <w:pStyle w:val="Heading1"/>
        <w:rPr>
          <w:rFonts w:ascii="Arial" w:hAnsi="Arial" w:cs="Arial"/>
          <w:b/>
          <w:color w:val="auto"/>
          <w:sz w:val="28"/>
        </w:rPr>
      </w:pPr>
      <w:r w:rsidRPr="003136F0">
        <w:rPr>
          <w:rFonts w:ascii="Arial" w:hAnsi="Arial" w:cs="Arial"/>
          <w:b/>
          <w:color w:val="auto"/>
          <w:sz w:val="28"/>
        </w:rPr>
        <w:t>Project</w:t>
      </w:r>
      <w:r w:rsidR="00A677D9" w:rsidRPr="003136F0">
        <w:rPr>
          <w:rFonts w:ascii="Arial" w:hAnsi="Arial" w:cs="Arial"/>
          <w:b/>
          <w:color w:val="auto"/>
          <w:sz w:val="28"/>
        </w:rPr>
        <w:t xml:space="preserve"> Description</w:t>
      </w:r>
    </w:p>
    <w:p w:rsidR="00A677D9" w:rsidRPr="003136F0" w:rsidRDefault="00A677D9" w:rsidP="008A375B">
      <w:pPr>
        <w:spacing w:line="276" w:lineRule="auto"/>
        <w:jc w:val="both"/>
        <w:rPr>
          <w:rFonts w:ascii="Arial" w:hAnsi="Arial" w:cs="Arial"/>
          <w:sz w:val="24"/>
          <w:szCs w:val="24"/>
        </w:rPr>
      </w:pPr>
    </w:p>
    <w:p w:rsidR="008A375B" w:rsidRPr="008A375B" w:rsidRDefault="008A375B" w:rsidP="008A375B">
      <w:pPr>
        <w:spacing w:after="160" w:line="259" w:lineRule="auto"/>
        <w:jc w:val="both"/>
        <w:rPr>
          <w:rFonts w:ascii="Arial" w:hAnsi="Arial" w:cs="Arial"/>
          <w:b/>
          <w:i/>
          <w:sz w:val="24"/>
          <w:szCs w:val="24"/>
          <w:u w:val="single"/>
        </w:rPr>
      </w:pPr>
      <w:r w:rsidRPr="008A375B">
        <w:rPr>
          <w:rFonts w:ascii="Arial" w:hAnsi="Arial" w:cs="Arial"/>
          <w:b/>
          <w:i/>
          <w:sz w:val="24"/>
          <w:szCs w:val="24"/>
          <w:u w:val="single"/>
        </w:rPr>
        <w:t xml:space="preserve">About the project: </w:t>
      </w:r>
    </w:p>
    <w:p w:rsidR="003C1A16" w:rsidRDefault="00E13ABC" w:rsidP="00E13ABC">
      <w:pPr>
        <w:spacing w:after="200" w:line="276" w:lineRule="auto"/>
        <w:jc w:val="both"/>
        <w:rPr>
          <w:rFonts w:ascii="Arial" w:hAnsi="Arial" w:cs="Arial"/>
          <w:sz w:val="24"/>
          <w:szCs w:val="24"/>
        </w:rPr>
      </w:pPr>
      <w:r w:rsidRPr="00E13ABC">
        <w:rPr>
          <w:rFonts w:ascii="Arial" w:hAnsi="Arial" w:cs="Arial"/>
          <w:sz w:val="24"/>
          <w:szCs w:val="24"/>
        </w:rPr>
        <w:t xml:space="preserve">Over the last few years there has been an increase in </w:t>
      </w:r>
      <w:r>
        <w:rPr>
          <w:rFonts w:ascii="Arial" w:hAnsi="Arial" w:cs="Arial"/>
          <w:sz w:val="24"/>
          <w:szCs w:val="24"/>
        </w:rPr>
        <w:t xml:space="preserve">the number of </w:t>
      </w:r>
      <w:r w:rsidRPr="00E13ABC">
        <w:rPr>
          <w:rFonts w:ascii="Arial" w:hAnsi="Arial" w:cs="Arial"/>
          <w:sz w:val="24"/>
          <w:szCs w:val="24"/>
        </w:rPr>
        <w:t>food banks</w:t>
      </w:r>
      <w:r>
        <w:rPr>
          <w:rFonts w:ascii="Arial" w:hAnsi="Arial" w:cs="Arial"/>
          <w:sz w:val="24"/>
          <w:szCs w:val="24"/>
        </w:rPr>
        <w:t xml:space="preserve"> (charitable organisations established to provide f</w:t>
      </w:r>
      <w:r w:rsidRPr="00E13ABC">
        <w:rPr>
          <w:rFonts w:ascii="Arial" w:hAnsi="Arial" w:cs="Arial"/>
          <w:sz w:val="24"/>
          <w:szCs w:val="24"/>
        </w:rPr>
        <w:t>ree food assistance</w:t>
      </w:r>
      <w:r>
        <w:rPr>
          <w:rFonts w:ascii="Arial" w:hAnsi="Arial" w:cs="Arial"/>
          <w:sz w:val="24"/>
          <w:szCs w:val="24"/>
        </w:rPr>
        <w:t>) a</w:t>
      </w:r>
      <w:r w:rsidRPr="00E13ABC">
        <w:rPr>
          <w:rFonts w:ascii="Arial" w:hAnsi="Arial" w:cs="Arial"/>
          <w:sz w:val="24"/>
          <w:szCs w:val="24"/>
        </w:rPr>
        <w:t>cross the UK. However, data on numbers of food banks, characteristics of those who use them and the factors which drive usage are limited.</w:t>
      </w:r>
      <w:r>
        <w:rPr>
          <w:rFonts w:ascii="Arial" w:hAnsi="Arial" w:cs="Arial"/>
          <w:sz w:val="24"/>
          <w:szCs w:val="24"/>
        </w:rPr>
        <w:t xml:space="preserve"> </w:t>
      </w:r>
    </w:p>
    <w:p w:rsidR="00E13ABC" w:rsidRPr="00E13ABC" w:rsidRDefault="00E13ABC" w:rsidP="00E13ABC">
      <w:pPr>
        <w:spacing w:after="200" w:line="276" w:lineRule="auto"/>
        <w:jc w:val="both"/>
        <w:rPr>
          <w:rFonts w:ascii="Arial" w:hAnsi="Arial" w:cs="Arial"/>
          <w:sz w:val="24"/>
          <w:szCs w:val="24"/>
        </w:rPr>
      </w:pPr>
      <w:r w:rsidRPr="00E13ABC">
        <w:rPr>
          <w:rFonts w:ascii="Arial" w:hAnsi="Arial" w:cs="Arial"/>
          <w:sz w:val="24"/>
          <w:szCs w:val="24"/>
        </w:rPr>
        <w:t xml:space="preserve">The rapid growth in food banks has prompted debate about why so many people are using them.  At the moment there is no agreement as to why this is. Some evidence, as in the above research, highlights the disadvantages experienced by those who use food banks.  For example, the majority of households using </w:t>
      </w:r>
      <w:proofErr w:type="spellStart"/>
      <w:r w:rsidRPr="00E13ABC">
        <w:rPr>
          <w:rFonts w:ascii="Arial" w:hAnsi="Arial" w:cs="Arial"/>
          <w:sz w:val="24"/>
          <w:szCs w:val="24"/>
        </w:rPr>
        <w:t>Trussell</w:t>
      </w:r>
      <w:proofErr w:type="spellEnd"/>
      <w:r w:rsidRPr="00E13ABC">
        <w:rPr>
          <w:rFonts w:ascii="Arial" w:hAnsi="Arial" w:cs="Arial"/>
          <w:sz w:val="24"/>
          <w:szCs w:val="24"/>
        </w:rPr>
        <w:t xml:space="preserve"> Trust food banks were workless (84.2%) and three-quarters of households using these food banks contained someone with a health condition and/or disability.  When looking at why these individuals were referred to the food </w:t>
      </w:r>
      <w:r w:rsidRPr="00E13ABC">
        <w:rPr>
          <w:rFonts w:ascii="Arial" w:hAnsi="Arial" w:cs="Arial"/>
          <w:sz w:val="24"/>
          <w:szCs w:val="24"/>
        </w:rPr>
        <w:lastRenderedPageBreak/>
        <w:t xml:space="preserve">banks, low income and benefit delays/changes were commonly recorded as the primary referral reason to </w:t>
      </w:r>
      <w:proofErr w:type="spellStart"/>
      <w:r w:rsidRPr="00E13ABC">
        <w:rPr>
          <w:rFonts w:ascii="Arial" w:hAnsi="Arial" w:cs="Arial"/>
          <w:sz w:val="24"/>
          <w:szCs w:val="24"/>
        </w:rPr>
        <w:t>Trussell</w:t>
      </w:r>
      <w:proofErr w:type="spellEnd"/>
      <w:r w:rsidRPr="00E13ABC">
        <w:rPr>
          <w:rFonts w:ascii="Arial" w:hAnsi="Arial" w:cs="Arial"/>
          <w:sz w:val="24"/>
          <w:szCs w:val="24"/>
        </w:rPr>
        <w:t xml:space="preserve"> Trust food banks.</w:t>
      </w:r>
    </w:p>
    <w:p w:rsidR="00E13ABC" w:rsidRPr="00E13ABC" w:rsidRDefault="00E13ABC" w:rsidP="00E13ABC">
      <w:pPr>
        <w:spacing w:after="200" w:line="276" w:lineRule="auto"/>
        <w:jc w:val="both"/>
        <w:rPr>
          <w:rFonts w:ascii="Arial" w:hAnsi="Arial" w:cs="Arial"/>
          <w:sz w:val="24"/>
          <w:szCs w:val="24"/>
        </w:rPr>
      </w:pPr>
      <w:r w:rsidRPr="00E13ABC">
        <w:rPr>
          <w:rFonts w:ascii="Arial" w:hAnsi="Arial" w:cs="Arial"/>
          <w:sz w:val="24"/>
          <w:szCs w:val="24"/>
        </w:rPr>
        <w:t>However, both this and other studies have also described a complicated picture where food bank usage is driven by short-term crises or changes in family circumstances following long term difficulties.  Others have also suggested that “supply side” factors such as the increased numbers of food banks, may partly drive the increase in the rate of food bank usage.</w:t>
      </w:r>
      <w:r>
        <w:rPr>
          <w:rFonts w:ascii="Arial" w:hAnsi="Arial" w:cs="Arial"/>
          <w:sz w:val="24"/>
          <w:szCs w:val="24"/>
        </w:rPr>
        <w:t xml:space="preserve"> </w:t>
      </w:r>
      <w:r w:rsidRPr="00E13ABC">
        <w:rPr>
          <w:rFonts w:ascii="Arial" w:hAnsi="Arial" w:cs="Arial"/>
          <w:sz w:val="24"/>
          <w:szCs w:val="24"/>
        </w:rPr>
        <w:t>It is not clear, therefore, whether factors connected with “demand” i.e. user’s short and longer-term disadvantage, supply side factors or a combination of both are driving the use of food banks.</w:t>
      </w:r>
    </w:p>
    <w:p w:rsidR="00E13ABC" w:rsidRPr="00E13ABC" w:rsidRDefault="00E13ABC" w:rsidP="00E13ABC">
      <w:pPr>
        <w:spacing w:after="200" w:line="276" w:lineRule="auto"/>
        <w:jc w:val="both"/>
        <w:rPr>
          <w:rFonts w:ascii="Arial" w:hAnsi="Arial" w:cs="Arial"/>
          <w:sz w:val="24"/>
          <w:szCs w:val="24"/>
        </w:rPr>
      </w:pPr>
      <w:r w:rsidRPr="00E13ABC">
        <w:rPr>
          <w:rFonts w:ascii="Arial" w:hAnsi="Arial" w:cs="Arial"/>
          <w:sz w:val="24"/>
          <w:szCs w:val="24"/>
        </w:rPr>
        <w:t xml:space="preserve">The current research and statistical evidence on food bank usage is also limited in that it tends to involve the </w:t>
      </w:r>
      <w:proofErr w:type="spellStart"/>
      <w:r w:rsidRPr="00E13ABC">
        <w:rPr>
          <w:rFonts w:ascii="Arial" w:hAnsi="Arial" w:cs="Arial"/>
          <w:sz w:val="24"/>
          <w:szCs w:val="24"/>
        </w:rPr>
        <w:t>Trussell</w:t>
      </w:r>
      <w:proofErr w:type="spellEnd"/>
      <w:r w:rsidRPr="00E13ABC">
        <w:rPr>
          <w:rFonts w:ascii="Arial" w:hAnsi="Arial" w:cs="Arial"/>
          <w:sz w:val="24"/>
          <w:szCs w:val="24"/>
        </w:rPr>
        <w:t xml:space="preserve"> Trust either in terms of commissioning the research or in using data and interviews from individuals using their food banks. However, recent “mapping” of food banks not provided by the </w:t>
      </w:r>
      <w:proofErr w:type="spellStart"/>
      <w:r w:rsidRPr="00E13ABC">
        <w:rPr>
          <w:rFonts w:ascii="Arial" w:hAnsi="Arial" w:cs="Arial"/>
          <w:sz w:val="24"/>
          <w:szCs w:val="24"/>
        </w:rPr>
        <w:t>Trussell</w:t>
      </w:r>
      <w:proofErr w:type="spellEnd"/>
      <w:r w:rsidRPr="00E13ABC">
        <w:rPr>
          <w:rFonts w:ascii="Arial" w:hAnsi="Arial" w:cs="Arial"/>
          <w:sz w:val="24"/>
          <w:szCs w:val="24"/>
        </w:rPr>
        <w:t xml:space="preserve"> Trust indicate that around 38% of the total number of food banks are provided by other providers.</w:t>
      </w:r>
    </w:p>
    <w:p w:rsidR="00E13ABC" w:rsidRDefault="00E13ABC" w:rsidP="00E13ABC">
      <w:pPr>
        <w:spacing w:after="200" w:line="276" w:lineRule="auto"/>
        <w:jc w:val="both"/>
        <w:rPr>
          <w:rFonts w:ascii="Arial" w:hAnsi="Arial" w:cs="Arial"/>
          <w:sz w:val="24"/>
          <w:szCs w:val="24"/>
        </w:rPr>
      </w:pPr>
      <w:r w:rsidRPr="00E13ABC">
        <w:rPr>
          <w:rFonts w:ascii="Arial" w:hAnsi="Arial" w:cs="Arial"/>
          <w:sz w:val="24"/>
          <w:szCs w:val="24"/>
        </w:rPr>
        <w:t xml:space="preserve">This limits current evidence as we do not have a complete picture of the extent of food bank usage. It may also be possible that those using </w:t>
      </w:r>
      <w:proofErr w:type="spellStart"/>
      <w:r w:rsidRPr="00E13ABC">
        <w:rPr>
          <w:rFonts w:ascii="Arial" w:hAnsi="Arial" w:cs="Arial"/>
          <w:sz w:val="24"/>
          <w:szCs w:val="24"/>
        </w:rPr>
        <w:t>Trussell</w:t>
      </w:r>
      <w:proofErr w:type="spellEnd"/>
      <w:r w:rsidRPr="00E13ABC">
        <w:rPr>
          <w:rFonts w:ascii="Arial" w:hAnsi="Arial" w:cs="Arial"/>
          <w:sz w:val="24"/>
          <w:szCs w:val="24"/>
        </w:rPr>
        <w:t xml:space="preserve"> Trust food banks may not be representative of the total population of users.  Our current knowledge is further limited in that there is less research which has looked at “supply” side issues which may have </w:t>
      </w:r>
      <w:r>
        <w:rPr>
          <w:rFonts w:ascii="Arial" w:hAnsi="Arial" w:cs="Arial"/>
          <w:sz w:val="24"/>
          <w:szCs w:val="24"/>
        </w:rPr>
        <w:t>helped the growth in food banks.</w:t>
      </w:r>
    </w:p>
    <w:p w:rsidR="00E13ABC" w:rsidRPr="00E13ABC" w:rsidRDefault="00E13ABC" w:rsidP="00E13ABC">
      <w:pPr>
        <w:rPr>
          <w:rFonts w:ascii="Arial" w:hAnsi="Arial" w:cs="Arial"/>
          <w:sz w:val="24"/>
          <w:szCs w:val="24"/>
        </w:rPr>
      </w:pPr>
      <w:r w:rsidRPr="00E13ABC">
        <w:rPr>
          <w:rFonts w:ascii="Arial" w:hAnsi="Arial" w:cs="Arial"/>
          <w:sz w:val="24"/>
          <w:szCs w:val="24"/>
        </w:rPr>
        <w:t xml:space="preserve">The </w:t>
      </w:r>
      <w:r>
        <w:rPr>
          <w:rFonts w:ascii="Arial" w:hAnsi="Arial" w:cs="Arial"/>
          <w:sz w:val="24"/>
          <w:szCs w:val="24"/>
        </w:rPr>
        <w:t>broad aim this research is to:</w:t>
      </w:r>
    </w:p>
    <w:p w:rsidR="00E13ABC" w:rsidRPr="00E13ABC" w:rsidRDefault="00E13ABC" w:rsidP="00E13ABC">
      <w:pPr>
        <w:pStyle w:val="ListParagraph"/>
        <w:numPr>
          <w:ilvl w:val="0"/>
          <w:numId w:val="28"/>
        </w:numPr>
        <w:contextualSpacing w:val="0"/>
        <w:rPr>
          <w:rFonts w:ascii="Arial" w:hAnsi="Arial" w:cs="Arial"/>
          <w:sz w:val="24"/>
          <w:szCs w:val="24"/>
        </w:rPr>
      </w:pPr>
      <w:r w:rsidRPr="00E13ABC">
        <w:rPr>
          <w:rFonts w:ascii="Arial" w:hAnsi="Arial" w:cs="Arial"/>
          <w:sz w:val="24"/>
          <w:szCs w:val="24"/>
        </w:rPr>
        <w:t>Provide evidence on the extent of food bank usage from all food aid providers.</w:t>
      </w:r>
    </w:p>
    <w:p w:rsidR="00E13ABC" w:rsidRPr="00E13ABC" w:rsidRDefault="00E13ABC" w:rsidP="00E13ABC">
      <w:pPr>
        <w:pStyle w:val="ListParagraph"/>
        <w:numPr>
          <w:ilvl w:val="0"/>
          <w:numId w:val="28"/>
        </w:numPr>
        <w:contextualSpacing w:val="0"/>
        <w:rPr>
          <w:rFonts w:ascii="Arial" w:hAnsi="Arial" w:cs="Arial"/>
          <w:sz w:val="24"/>
          <w:szCs w:val="24"/>
        </w:rPr>
      </w:pPr>
      <w:r w:rsidRPr="00E13ABC">
        <w:rPr>
          <w:rFonts w:ascii="Arial" w:hAnsi="Arial" w:cs="Arial"/>
          <w:sz w:val="24"/>
          <w:szCs w:val="24"/>
        </w:rPr>
        <w:t>Explore supply side issues which may have driven the growth of food bank usage.</w:t>
      </w:r>
    </w:p>
    <w:p w:rsidR="00E13ABC" w:rsidRPr="00E13ABC" w:rsidRDefault="00E13ABC" w:rsidP="00E13ABC">
      <w:pPr>
        <w:pStyle w:val="ListParagraph"/>
        <w:numPr>
          <w:ilvl w:val="0"/>
          <w:numId w:val="28"/>
        </w:numPr>
        <w:contextualSpacing w:val="0"/>
        <w:rPr>
          <w:rFonts w:ascii="Arial" w:hAnsi="Arial" w:cs="Arial"/>
          <w:sz w:val="24"/>
          <w:szCs w:val="24"/>
        </w:rPr>
      </w:pPr>
      <w:r w:rsidRPr="00E13ABC">
        <w:rPr>
          <w:rFonts w:ascii="Arial" w:hAnsi="Arial" w:cs="Arial"/>
          <w:sz w:val="24"/>
          <w:szCs w:val="24"/>
        </w:rPr>
        <w:t xml:space="preserve">Explore short and longer term issues which drive the use of food banks with these users. </w:t>
      </w:r>
    </w:p>
    <w:p w:rsidR="00E13ABC" w:rsidRPr="00E13ABC" w:rsidRDefault="00E13ABC" w:rsidP="00E13ABC">
      <w:pPr>
        <w:spacing w:after="200" w:line="276" w:lineRule="auto"/>
        <w:jc w:val="both"/>
        <w:rPr>
          <w:rFonts w:ascii="Arial" w:hAnsi="Arial" w:cs="Arial"/>
          <w:sz w:val="24"/>
          <w:szCs w:val="24"/>
        </w:rPr>
      </w:pPr>
    </w:p>
    <w:p w:rsidR="008A375B" w:rsidRPr="008A375B" w:rsidRDefault="008A375B" w:rsidP="008A375B">
      <w:pPr>
        <w:spacing w:after="160" w:line="259" w:lineRule="auto"/>
        <w:jc w:val="both"/>
        <w:rPr>
          <w:rFonts w:ascii="Arial" w:hAnsi="Arial" w:cs="Arial"/>
          <w:b/>
          <w:i/>
          <w:sz w:val="24"/>
          <w:szCs w:val="24"/>
          <w:u w:val="single"/>
        </w:rPr>
      </w:pPr>
      <w:r w:rsidRPr="008A375B">
        <w:rPr>
          <w:rFonts w:ascii="Arial" w:hAnsi="Arial" w:cs="Arial"/>
          <w:b/>
          <w:i/>
          <w:sz w:val="24"/>
          <w:szCs w:val="24"/>
          <w:u w:val="single"/>
        </w:rPr>
        <w:t>Research methods</w:t>
      </w:r>
    </w:p>
    <w:p w:rsidR="008A375B" w:rsidRDefault="008A375B" w:rsidP="008A375B">
      <w:pPr>
        <w:spacing w:after="200" w:line="276" w:lineRule="auto"/>
        <w:rPr>
          <w:rFonts w:ascii="Arial" w:hAnsi="Arial" w:cs="Arial"/>
          <w:sz w:val="24"/>
          <w:szCs w:val="24"/>
        </w:rPr>
      </w:pPr>
      <w:r w:rsidRPr="008A375B">
        <w:rPr>
          <w:rFonts w:ascii="Arial" w:hAnsi="Arial" w:cs="Arial"/>
          <w:sz w:val="24"/>
          <w:szCs w:val="24"/>
        </w:rPr>
        <w:t>Research methods c</w:t>
      </w:r>
      <w:r>
        <w:rPr>
          <w:rFonts w:ascii="Arial" w:hAnsi="Arial" w:cs="Arial"/>
          <w:sz w:val="24"/>
          <w:szCs w:val="24"/>
        </w:rPr>
        <w:t>omprise of four broad elements:</w:t>
      </w:r>
    </w:p>
    <w:p w:rsidR="008A375B" w:rsidRPr="008A375B" w:rsidRDefault="008A375B" w:rsidP="008A375B">
      <w:pPr>
        <w:pStyle w:val="ListParagraph"/>
        <w:numPr>
          <w:ilvl w:val="0"/>
          <w:numId w:val="16"/>
        </w:numPr>
        <w:spacing w:after="200" w:line="276" w:lineRule="auto"/>
        <w:rPr>
          <w:rFonts w:ascii="Arial" w:hAnsi="Arial" w:cs="Arial"/>
          <w:sz w:val="24"/>
          <w:szCs w:val="24"/>
        </w:rPr>
      </w:pPr>
      <w:r>
        <w:rPr>
          <w:rFonts w:ascii="Arial" w:hAnsi="Arial" w:cs="Arial"/>
          <w:sz w:val="24"/>
          <w:szCs w:val="24"/>
        </w:rPr>
        <w:t>a</w:t>
      </w:r>
      <w:r w:rsidRPr="008A375B">
        <w:rPr>
          <w:rFonts w:ascii="Arial" w:hAnsi="Arial" w:cs="Arial"/>
          <w:sz w:val="24"/>
          <w:szCs w:val="24"/>
        </w:rPr>
        <w:t xml:space="preserve"> literature review </w:t>
      </w:r>
    </w:p>
    <w:p w:rsidR="008A375B" w:rsidRPr="008A375B" w:rsidRDefault="008A375B" w:rsidP="008A375B">
      <w:pPr>
        <w:pStyle w:val="ListParagraph"/>
        <w:numPr>
          <w:ilvl w:val="0"/>
          <w:numId w:val="16"/>
        </w:numPr>
        <w:spacing w:after="200" w:line="276" w:lineRule="auto"/>
        <w:rPr>
          <w:rFonts w:ascii="Arial" w:hAnsi="Arial" w:cs="Arial"/>
          <w:sz w:val="24"/>
          <w:szCs w:val="24"/>
        </w:rPr>
      </w:pPr>
      <w:r>
        <w:rPr>
          <w:rFonts w:ascii="Arial" w:hAnsi="Arial" w:cs="Arial"/>
          <w:sz w:val="24"/>
          <w:szCs w:val="24"/>
        </w:rPr>
        <w:t xml:space="preserve">a mapping exercise </w:t>
      </w:r>
      <w:r w:rsidRPr="008A375B">
        <w:rPr>
          <w:rFonts w:ascii="Arial" w:hAnsi="Arial" w:cs="Arial"/>
          <w:sz w:val="24"/>
          <w:szCs w:val="24"/>
        </w:rPr>
        <w:t xml:space="preserve"> </w:t>
      </w:r>
    </w:p>
    <w:p w:rsidR="008A375B" w:rsidRDefault="008A375B" w:rsidP="008A375B">
      <w:pPr>
        <w:pStyle w:val="ListParagraph"/>
        <w:numPr>
          <w:ilvl w:val="0"/>
          <w:numId w:val="16"/>
        </w:numPr>
        <w:spacing w:after="200" w:line="276" w:lineRule="auto"/>
        <w:rPr>
          <w:rFonts w:ascii="Arial" w:hAnsi="Arial" w:cs="Arial"/>
          <w:sz w:val="24"/>
          <w:szCs w:val="24"/>
        </w:rPr>
      </w:pPr>
      <w:r>
        <w:rPr>
          <w:rFonts w:ascii="Arial" w:hAnsi="Arial" w:cs="Arial"/>
          <w:sz w:val="24"/>
          <w:szCs w:val="24"/>
        </w:rPr>
        <w:t>qualitative interviews</w:t>
      </w:r>
      <w:r w:rsidR="003C1A16">
        <w:rPr>
          <w:rFonts w:ascii="Arial" w:hAnsi="Arial" w:cs="Arial"/>
          <w:sz w:val="24"/>
          <w:szCs w:val="24"/>
        </w:rPr>
        <w:t xml:space="preserve"> &amp; focus groups</w:t>
      </w:r>
      <w:r>
        <w:rPr>
          <w:rFonts w:ascii="Arial" w:hAnsi="Arial" w:cs="Arial"/>
          <w:sz w:val="24"/>
          <w:szCs w:val="24"/>
        </w:rPr>
        <w:t>, and</w:t>
      </w:r>
    </w:p>
    <w:p w:rsidR="008A375B" w:rsidRDefault="008A375B" w:rsidP="008A375B">
      <w:pPr>
        <w:pStyle w:val="ListParagraph"/>
        <w:numPr>
          <w:ilvl w:val="0"/>
          <w:numId w:val="16"/>
        </w:numPr>
        <w:spacing w:after="200" w:line="276" w:lineRule="auto"/>
        <w:rPr>
          <w:rFonts w:ascii="Arial" w:hAnsi="Arial" w:cs="Arial"/>
          <w:sz w:val="24"/>
          <w:szCs w:val="24"/>
        </w:rPr>
      </w:pPr>
      <w:proofErr w:type="gramStart"/>
      <w:r>
        <w:rPr>
          <w:rFonts w:ascii="Arial" w:hAnsi="Arial" w:cs="Arial"/>
          <w:sz w:val="24"/>
          <w:szCs w:val="24"/>
        </w:rPr>
        <w:t>analysis</w:t>
      </w:r>
      <w:proofErr w:type="gramEnd"/>
      <w:r>
        <w:rPr>
          <w:rFonts w:ascii="Arial" w:hAnsi="Arial" w:cs="Arial"/>
          <w:sz w:val="24"/>
          <w:szCs w:val="24"/>
        </w:rPr>
        <w:t xml:space="preserve"> and dissemination of findings.</w:t>
      </w:r>
    </w:p>
    <w:p w:rsidR="008A375B" w:rsidRPr="008A375B" w:rsidRDefault="008A375B" w:rsidP="008A375B">
      <w:pPr>
        <w:spacing w:after="200" w:line="276" w:lineRule="auto"/>
        <w:jc w:val="both"/>
        <w:rPr>
          <w:rFonts w:ascii="Arial" w:hAnsi="Arial" w:cs="Arial"/>
          <w:i/>
          <w:sz w:val="24"/>
          <w:szCs w:val="24"/>
          <w:u w:val="single"/>
        </w:rPr>
      </w:pPr>
      <w:r>
        <w:rPr>
          <w:rFonts w:ascii="Arial" w:hAnsi="Arial" w:cs="Arial"/>
          <w:i/>
          <w:sz w:val="24"/>
          <w:szCs w:val="24"/>
          <w:u w:val="single"/>
        </w:rPr>
        <w:t>Literature review</w:t>
      </w:r>
      <w:r w:rsidRPr="008A375B">
        <w:rPr>
          <w:rFonts w:ascii="Arial" w:hAnsi="Arial" w:cs="Arial"/>
          <w:i/>
          <w:sz w:val="24"/>
          <w:szCs w:val="24"/>
          <w:u w:val="single"/>
        </w:rPr>
        <w:t xml:space="preserve"> </w:t>
      </w:r>
    </w:p>
    <w:p w:rsidR="00E13ABC" w:rsidRDefault="00E13ABC" w:rsidP="00E13ABC">
      <w:pPr>
        <w:spacing w:after="200" w:line="276" w:lineRule="auto"/>
        <w:rPr>
          <w:rFonts w:ascii="Arial" w:hAnsi="Arial" w:cs="Arial"/>
          <w:sz w:val="24"/>
          <w:szCs w:val="24"/>
        </w:rPr>
      </w:pPr>
      <w:r>
        <w:rPr>
          <w:rFonts w:ascii="Arial" w:hAnsi="Arial" w:cs="Arial"/>
          <w:sz w:val="24"/>
          <w:szCs w:val="24"/>
        </w:rPr>
        <w:t>A</w:t>
      </w:r>
      <w:r w:rsidRPr="00E13ABC">
        <w:rPr>
          <w:rFonts w:ascii="Arial" w:hAnsi="Arial" w:cs="Arial"/>
          <w:sz w:val="24"/>
          <w:szCs w:val="24"/>
        </w:rPr>
        <w:t xml:space="preserve"> review of literature will be conducted around food banks, including academic papers and recent research reports.  The review will identify evidence that already exists in relation to the above research questions and identify where there are gaps in our in current understanding which this research will attempt to inform.</w:t>
      </w:r>
      <w:r>
        <w:rPr>
          <w:rFonts w:ascii="Arial" w:hAnsi="Arial" w:cs="Arial"/>
          <w:sz w:val="24"/>
          <w:szCs w:val="24"/>
        </w:rPr>
        <w:t xml:space="preserve"> </w:t>
      </w:r>
    </w:p>
    <w:p w:rsidR="00E067B9" w:rsidRDefault="00E067B9" w:rsidP="00E13ABC">
      <w:pPr>
        <w:spacing w:after="200" w:line="276" w:lineRule="auto"/>
        <w:jc w:val="both"/>
        <w:rPr>
          <w:rFonts w:ascii="Arial" w:hAnsi="Arial" w:cs="Arial"/>
          <w:i/>
          <w:sz w:val="24"/>
          <w:szCs w:val="24"/>
          <w:u w:val="single"/>
        </w:rPr>
      </w:pPr>
    </w:p>
    <w:p w:rsidR="00E067B9" w:rsidRDefault="00E067B9" w:rsidP="00E13ABC">
      <w:pPr>
        <w:spacing w:after="200" w:line="276" w:lineRule="auto"/>
        <w:jc w:val="both"/>
        <w:rPr>
          <w:rFonts w:ascii="Arial" w:hAnsi="Arial" w:cs="Arial"/>
          <w:i/>
          <w:sz w:val="24"/>
          <w:szCs w:val="24"/>
          <w:u w:val="single"/>
        </w:rPr>
      </w:pPr>
    </w:p>
    <w:p w:rsidR="008A375B" w:rsidRPr="00E13ABC" w:rsidRDefault="008A375B" w:rsidP="00E13ABC">
      <w:pPr>
        <w:spacing w:after="200" w:line="276" w:lineRule="auto"/>
        <w:jc w:val="both"/>
        <w:rPr>
          <w:rFonts w:ascii="Arial" w:hAnsi="Arial" w:cs="Arial"/>
          <w:i/>
          <w:sz w:val="24"/>
          <w:szCs w:val="24"/>
          <w:u w:val="single"/>
        </w:rPr>
      </w:pPr>
      <w:r w:rsidRPr="00E13ABC">
        <w:rPr>
          <w:rFonts w:ascii="Arial" w:hAnsi="Arial" w:cs="Arial"/>
          <w:i/>
          <w:sz w:val="24"/>
          <w:szCs w:val="24"/>
          <w:u w:val="single"/>
        </w:rPr>
        <w:lastRenderedPageBreak/>
        <w:t xml:space="preserve">A </w:t>
      </w:r>
      <w:r w:rsidR="00E13ABC">
        <w:rPr>
          <w:rFonts w:ascii="Arial" w:hAnsi="Arial" w:cs="Arial"/>
          <w:i/>
          <w:sz w:val="24"/>
          <w:szCs w:val="24"/>
          <w:u w:val="single"/>
        </w:rPr>
        <w:t>m</w:t>
      </w:r>
      <w:r w:rsidRPr="00E13ABC">
        <w:rPr>
          <w:rFonts w:ascii="Arial" w:hAnsi="Arial" w:cs="Arial"/>
          <w:i/>
          <w:sz w:val="24"/>
          <w:szCs w:val="24"/>
          <w:u w:val="single"/>
        </w:rPr>
        <w:t>apping exercise</w:t>
      </w:r>
    </w:p>
    <w:p w:rsidR="00E13ABC" w:rsidRDefault="00E13ABC" w:rsidP="00E13ABC">
      <w:pPr>
        <w:spacing w:after="200" w:line="276" w:lineRule="auto"/>
        <w:jc w:val="both"/>
        <w:rPr>
          <w:rFonts w:ascii="Arial" w:hAnsi="Arial" w:cs="Arial"/>
          <w:sz w:val="24"/>
          <w:szCs w:val="24"/>
        </w:rPr>
      </w:pPr>
      <w:r>
        <w:rPr>
          <w:rFonts w:ascii="Arial" w:hAnsi="Arial" w:cs="Arial"/>
          <w:sz w:val="24"/>
          <w:szCs w:val="24"/>
        </w:rPr>
        <w:t>T</w:t>
      </w:r>
      <w:r w:rsidRPr="00E13ABC">
        <w:rPr>
          <w:rFonts w:ascii="Arial" w:hAnsi="Arial" w:cs="Arial"/>
          <w:sz w:val="24"/>
          <w:szCs w:val="24"/>
        </w:rPr>
        <w:t xml:space="preserve">his part of the research will identify the location of all food banks, including the </w:t>
      </w:r>
      <w:proofErr w:type="spellStart"/>
      <w:r w:rsidRPr="00E13ABC">
        <w:rPr>
          <w:rFonts w:ascii="Arial" w:hAnsi="Arial" w:cs="Arial"/>
          <w:sz w:val="24"/>
          <w:szCs w:val="24"/>
        </w:rPr>
        <w:t>Trussell</w:t>
      </w:r>
      <w:proofErr w:type="spellEnd"/>
      <w:r w:rsidRPr="00E13ABC">
        <w:rPr>
          <w:rFonts w:ascii="Arial" w:hAnsi="Arial" w:cs="Arial"/>
          <w:sz w:val="24"/>
          <w:szCs w:val="24"/>
        </w:rPr>
        <w:t xml:space="preserve"> Trust and indepe</w:t>
      </w:r>
      <w:r w:rsidR="00344132">
        <w:rPr>
          <w:rFonts w:ascii="Arial" w:hAnsi="Arial" w:cs="Arial"/>
          <w:sz w:val="24"/>
          <w:szCs w:val="24"/>
        </w:rPr>
        <w:t xml:space="preserve">ndent food banks.  The researcher </w:t>
      </w:r>
      <w:r w:rsidRPr="00E13ABC">
        <w:rPr>
          <w:rFonts w:ascii="Arial" w:hAnsi="Arial" w:cs="Arial"/>
          <w:sz w:val="24"/>
          <w:szCs w:val="24"/>
        </w:rPr>
        <w:t xml:space="preserve">will be provided with details (location and contact information) of independent food banks which have been identified and mapped by the Independent Food Aid Network UK (IFAN).  At the time of drafting around 746. </w:t>
      </w:r>
    </w:p>
    <w:p w:rsidR="00E13ABC" w:rsidRPr="00E13ABC" w:rsidRDefault="00E13ABC" w:rsidP="00E13ABC">
      <w:pPr>
        <w:spacing w:after="200" w:line="276" w:lineRule="auto"/>
        <w:jc w:val="both"/>
        <w:rPr>
          <w:rFonts w:ascii="Arial" w:hAnsi="Arial" w:cs="Arial"/>
          <w:sz w:val="24"/>
          <w:szCs w:val="24"/>
        </w:rPr>
      </w:pPr>
      <w:r w:rsidRPr="00E13ABC">
        <w:rPr>
          <w:rFonts w:ascii="Arial" w:hAnsi="Arial" w:cs="Arial"/>
          <w:sz w:val="24"/>
          <w:szCs w:val="24"/>
        </w:rPr>
        <w:t xml:space="preserve">Department officials have met with IFAN who have agreed to work with the department to further research in this area, and have links with </w:t>
      </w:r>
      <w:proofErr w:type="spellStart"/>
      <w:r w:rsidRPr="00E13ABC">
        <w:rPr>
          <w:rFonts w:ascii="Arial" w:hAnsi="Arial" w:cs="Arial"/>
          <w:sz w:val="24"/>
          <w:szCs w:val="24"/>
        </w:rPr>
        <w:t>Trussel</w:t>
      </w:r>
      <w:r w:rsidR="00344132">
        <w:rPr>
          <w:rFonts w:ascii="Arial" w:hAnsi="Arial" w:cs="Arial"/>
          <w:sz w:val="24"/>
          <w:szCs w:val="24"/>
        </w:rPr>
        <w:t>l</w:t>
      </w:r>
      <w:proofErr w:type="spellEnd"/>
      <w:r w:rsidR="00344132">
        <w:rPr>
          <w:rFonts w:ascii="Arial" w:hAnsi="Arial" w:cs="Arial"/>
          <w:sz w:val="24"/>
          <w:szCs w:val="24"/>
        </w:rPr>
        <w:t xml:space="preserve"> Trust. The researcher </w:t>
      </w:r>
      <w:r w:rsidRPr="00E13ABC">
        <w:rPr>
          <w:rFonts w:ascii="Arial" w:hAnsi="Arial" w:cs="Arial"/>
          <w:sz w:val="24"/>
          <w:szCs w:val="24"/>
        </w:rPr>
        <w:t>will also make contact with any other researcher who is identified as mapping food banks to see if further non-</w:t>
      </w:r>
      <w:proofErr w:type="spellStart"/>
      <w:r w:rsidRPr="00E13ABC">
        <w:rPr>
          <w:rFonts w:ascii="Arial" w:hAnsi="Arial" w:cs="Arial"/>
          <w:sz w:val="24"/>
          <w:szCs w:val="24"/>
        </w:rPr>
        <w:t>Trussell</w:t>
      </w:r>
      <w:proofErr w:type="spellEnd"/>
      <w:r w:rsidRPr="00E13ABC">
        <w:rPr>
          <w:rFonts w:ascii="Arial" w:hAnsi="Arial" w:cs="Arial"/>
          <w:sz w:val="24"/>
          <w:szCs w:val="24"/>
        </w:rPr>
        <w:t xml:space="preserve"> Trust food banks can be identified.  This may not produce a complete list of all existing food banks which are independent of the </w:t>
      </w:r>
      <w:proofErr w:type="spellStart"/>
      <w:r w:rsidRPr="00E13ABC">
        <w:rPr>
          <w:rFonts w:ascii="Arial" w:hAnsi="Arial" w:cs="Arial"/>
          <w:sz w:val="24"/>
          <w:szCs w:val="24"/>
        </w:rPr>
        <w:t>Trussell</w:t>
      </w:r>
      <w:proofErr w:type="spellEnd"/>
      <w:r w:rsidRPr="00E13ABC">
        <w:rPr>
          <w:rFonts w:ascii="Arial" w:hAnsi="Arial" w:cs="Arial"/>
          <w:sz w:val="24"/>
          <w:szCs w:val="24"/>
        </w:rPr>
        <w:t xml:space="preserve"> Trust, but it should produce a comprehensive list. </w:t>
      </w:r>
    </w:p>
    <w:p w:rsidR="00E13ABC" w:rsidRPr="00E13ABC" w:rsidRDefault="00E13ABC" w:rsidP="00C20CF2">
      <w:pPr>
        <w:spacing w:after="200" w:line="276" w:lineRule="auto"/>
        <w:jc w:val="both"/>
        <w:rPr>
          <w:rFonts w:ascii="Arial" w:hAnsi="Arial" w:cs="Arial"/>
          <w:sz w:val="24"/>
          <w:szCs w:val="24"/>
        </w:rPr>
      </w:pPr>
      <w:r w:rsidRPr="00E13ABC">
        <w:rPr>
          <w:rFonts w:ascii="Arial" w:hAnsi="Arial" w:cs="Arial"/>
          <w:sz w:val="24"/>
          <w:szCs w:val="24"/>
        </w:rPr>
        <w:t>The researchers will obtain any statistical data that is available either from IFAN, other researchers or from food banks to explore, for example, growth over time, extent of food distributed.  It is recognised, however, that this may be limited or in many cases non-existent.</w:t>
      </w:r>
    </w:p>
    <w:p w:rsidR="00C20CF2" w:rsidRDefault="008A375B" w:rsidP="008A375B">
      <w:pPr>
        <w:spacing w:after="200" w:line="276" w:lineRule="auto"/>
        <w:jc w:val="both"/>
        <w:rPr>
          <w:rFonts w:ascii="Arial" w:hAnsi="Arial" w:cs="Arial"/>
          <w:i/>
          <w:sz w:val="24"/>
          <w:szCs w:val="24"/>
          <w:u w:val="single"/>
        </w:rPr>
      </w:pPr>
      <w:r w:rsidRPr="008A375B">
        <w:rPr>
          <w:rFonts w:ascii="Arial" w:hAnsi="Arial" w:cs="Arial"/>
          <w:i/>
          <w:sz w:val="24"/>
          <w:szCs w:val="24"/>
          <w:u w:val="single"/>
        </w:rPr>
        <w:t xml:space="preserve">Qualitative </w:t>
      </w:r>
      <w:r w:rsidR="00C20CF2">
        <w:rPr>
          <w:rFonts w:ascii="Arial" w:hAnsi="Arial" w:cs="Arial"/>
          <w:i/>
          <w:sz w:val="24"/>
          <w:szCs w:val="24"/>
          <w:u w:val="single"/>
        </w:rPr>
        <w:t>interviews</w:t>
      </w:r>
    </w:p>
    <w:p w:rsidR="00C20CF2" w:rsidRPr="00C20CF2" w:rsidRDefault="00C20CF2" w:rsidP="00C20CF2">
      <w:pPr>
        <w:pStyle w:val="ListParagraph"/>
        <w:numPr>
          <w:ilvl w:val="0"/>
          <w:numId w:val="33"/>
        </w:numPr>
        <w:spacing w:after="200" w:line="276" w:lineRule="auto"/>
        <w:jc w:val="both"/>
        <w:rPr>
          <w:rFonts w:ascii="Arial" w:hAnsi="Arial" w:cs="Arial"/>
          <w:sz w:val="24"/>
          <w:szCs w:val="24"/>
        </w:rPr>
      </w:pPr>
      <w:r w:rsidRPr="00C20CF2">
        <w:rPr>
          <w:rFonts w:ascii="Arial" w:hAnsi="Arial" w:cs="Arial"/>
          <w:sz w:val="24"/>
          <w:szCs w:val="24"/>
        </w:rPr>
        <w:t xml:space="preserve">Telephone surveys of food banks </w:t>
      </w:r>
    </w:p>
    <w:p w:rsidR="00C20CF2" w:rsidRPr="00C20CF2" w:rsidRDefault="00C20CF2" w:rsidP="00C20CF2">
      <w:pPr>
        <w:pStyle w:val="ListParagraph"/>
        <w:numPr>
          <w:ilvl w:val="0"/>
          <w:numId w:val="33"/>
        </w:numPr>
        <w:spacing w:after="200" w:line="276" w:lineRule="auto"/>
        <w:jc w:val="both"/>
        <w:rPr>
          <w:rFonts w:ascii="Arial" w:hAnsi="Arial" w:cs="Arial"/>
          <w:sz w:val="24"/>
          <w:szCs w:val="24"/>
        </w:rPr>
      </w:pPr>
      <w:r w:rsidRPr="00C20CF2">
        <w:rPr>
          <w:rFonts w:ascii="Arial" w:hAnsi="Arial" w:cs="Arial"/>
          <w:sz w:val="24"/>
          <w:szCs w:val="24"/>
        </w:rPr>
        <w:t xml:space="preserve">Qualitative interviews with food bank staff </w:t>
      </w:r>
    </w:p>
    <w:p w:rsidR="00C20CF2" w:rsidRPr="00C20CF2" w:rsidRDefault="00C20CF2" w:rsidP="00C20CF2">
      <w:pPr>
        <w:pStyle w:val="ListParagraph"/>
        <w:numPr>
          <w:ilvl w:val="0"/>
          <w:numId w:val="33"/>
        </w:numPr>
        <w:spacing w:after="200" w:line="276" w:lineRule="auto"/>
        <w:jc w:val="both"/>
        <w:rPr>
          <w:rFonts w:ascii="Arial" w:hAnsi="Arial" w:cs="Arial"/>
          <w:sz w:val="24"/>
          <w:szCs w:val="24"/>
        </w:rPr>
      </w:pPr>
      <w:r w:rsidRPr="00C20CF2">
        <w:rPr>
          <w:rFonts w:ascii="Arial" w:hAnsi="Arial" w:cs="Arial"/>
          <w:sz w:val="24"/>
          <w:szCs w:val="24"/>
        </w:rPr>
        <w:t>Qualitative interviews with food bank agencies and organisations in supply chain</w:t>
      </w:r>
    </w:p>
    <w:p w:rsidR="00C20CF2" w:rsidRPr="00C20CF2" w:rsidRDefault="00C20CF2" w:rsidP="00C20CF2">
      <w:pPr>
        <w:pStyle w:val="ListParagraph"/>
        <w:numPr>
          <w:ilvl w:val="0"/>
          <w:numId w:val="33"/>
        </w:numPr>
        <w:spacing w:after="200" w:line="276" w:lineRule="auto"/>
        <w:jc w:val="both"/>
        <w:rPr>
          <w:rFonts w:ascii="Arial" w:hAnsi="Arial" w:cs="Arial"/>
          <w:sz w:val="24"/>
          <w:szCs w:val="24"/>
        </w:rPr>
      </w:pPr>
      <w:r w:rsidRPr="00C20CF2">
        <w:rPr>
          <w:rFonts w:ascii="Arial" w:hAnsi="Arial" w:cs="Arial"/>
          <w:sz w:val="24"/>
          <w:szCs w:val="24"/>
        </w:rPr>
        <w:t xml:space="preserve">Interviews with food bank users </w:t>
      </w:r>
    </w:p>
    <w:p w:rsidR="00C20CF2" w:rsidRPr="00C20CF2" w:rsidRDefault="00C20CF2" w:rsidP="00C20CF2">
      <w:pPr>
        <w:pStyle w:val="ListParagraph"/>
        <w:numPr>
          <w:ilvl w:val="0"/>
          <w:numId w:val="33"/>
        </w:numPr>
        <w:spacing w:after="200" w:line="276" w:lineRule="auto"/>
        <w:jc w:val="both"/>
        <w:rPr>
          <w:rFonts w:ascii="Arial" w:hAnsi="Arial" w:cs="Arial"/>
          <w:sz w:val="24"/>
          <w:szCs w:val="24"/>
        </w:rPr>
      </w:pPr>
      <w:r w:rsidRPr="00C20CF2">
        <w:rPr>
          <w:rFonts w:ascii="Arial" w:hAnsi="Arial" w:cs="Arial"/>
          <w:sz w:val="24"/>
          <w:szCs w:val="24"/>
        </w:rPr>
        <w:t>Focus groups with food bank uses</w:t>
      </w:r>
    </w:p>
    <w:p w:rsidR="00C20CF2" w:rsidRPr="00C20CF2" w:rsidRDefault="003C1A16" w:rsidP="00C20CF2">
      <w:pPr>
        <w:spacing w:after="200" w:line="276" w:lineRule="auto"/>
        <w:jc w:val="both"/>
        <w:rPr>
          <w:rFonts w:ascii="Arial" w:hAnsi="Arial" w:cs="Arial"/>
          <w:i/>
          <w:sz w:val="24"/>
          <w:szCs w:val="24"/>
          <w:u w:val="single"/>
        </w:rPr>
      </w:pPr>
      <w:r>
        <w:rPr>
          <w:rFonts w:ascii="Arial" w:hAnsi="Arial" w:cs="Arial"/>
          <w:i/>
          <w:sz w:val="24"/>
          <w:szCs w:val="24"/>
          <w:u w:val="single"/>
        </w:rPr>
        <w:t>Analysis and Dissemination of findings</w:t>
      </w:r>
    </w:p>
    <w:p w:rsidR="00C20CF2" w:rsidRPr="006E6D64" w:rsidRDefault="00C20CF2" w:rsidP="003C1A16">
      <w:pPr>
        <w:pStyle w:val="ListParagraph"/>
        <w:numPr>
          <w:ilvl w:val="0"/>
          <w:numId w:val="35"/>
        </w:numPr>
        <w:rPr>
          <w:rFonts w:ascii="Arial" w:hAnsi="Arial" w:cs="Arial"/>
          <w:iCs/>
          <w:sz w:val="24"/>
          <w:szCs w:val="24"/>
        </w:rPr>
      </w:pPr>
      <w:r w:rsidRPr="006E6D64">
        <w:rPr>
          <w:rFonts w:ascii="Arial" w:hAnsi="Arial" w:cs="Arial"/>
          <w:iCs/>
          <w:sz w:val="24"/>
          <w:szCs w:val="24"/>
        </w:rPr>
        <w:t>Presentation of high level findings from the literature review, mapping exercise and discussion of quantitative research instruments.</w:t>
      </w:r>
    </w:p>
    <w:p w:rsidR="00C20CF2" w:rsidRDefault="00C20CF2" w:rsidP="003C1A16">
      <w:pPr>
        <w:pStyle w:val="ListParagraph"/>
        <w:numPr>
          <w:ilvl w:val="0"/>
          <w:numId w:val="35"/>
        </w:numPr>
        <w:rPr>
          <w:rFonts w:ascii="Arial" w:hAnsi="Arial" w:cs="Arial"/>
          <w:iCs/>
          <w:sz w:val="24"/>
          <w:szCs w:val="24"/>
        </w:rPr>
      </w:pPr>
      <w:r w:rsidRPr="00C20CF2">
        <w:rPr>
          <w:rFonts w:ascii="Arial" w:hAnsi="Arial" w:cs="Arial"/>
          <w:iCs/>
          <w:sz w:val="24"/>
          <w:szCs w:val="24"/>
        </w:rPr>
        <w:t xml:space="preserve">Presentation of findings from the quantitative survey of food bank providers </w:t>
      </w:r>
    </w:p>
    <w:p w:rsidR="00C20CF2" w:rsidRPr="00C20CF2" w:rsidRDefault="00C20CF2" w:rsidP="003C1A16">
      <w:pPr>
        <w:pStyle w:val="ListParagraph"/>
        <w:numPr>
          <w:ilvl w:val="0"/>
          <w:numId w:val="35"/>
        </w:numPr>
        <w:rPr>
          <w:rFonts w:ascii="Arial" w:hAnsi="Arial" w:cs="Arial"/>
          <w:iCs/>
          <w:sz w:val="24"/>
          <w:szCs w:val="24"/>
        </w:rPr>
      </w:pPr>
      <w:r w:rsidRPr="00C20CF2">
        <w:rPr>
          <w:rFonts w:ascii="Arial" w:hAnsi="Arial" w:cs="Arial"/>
          <w:iCs/>
          <w:sz w:val="24"/>
          <w:szCs w:val="24"/>
        </w:rPr>
        <w:t>Presentation of findings from qualitative research with food bank staff.</w:t>
      </w:r>
    </w:p>
    <w:p w:rsidR="00C20CF2" w:rsidRPr="006E6D64" w:rsidRDefault="00C20CF2" w:rsidP="003C1A16">
      <w:pPr>
        <w:pStyle w:val="ListParagraph"/>
        <w:numPr>
          <w:ilvl w:val="0"/>
          <w:numId w:val="35"/>
        </w:numPr>
        <w:rPr>
          <w:rFonts w:ascii="Arial" w:hAnsi="Arial" w:cs="Arial"/>
          <w:iCs/>
          <w:sz w:val="24"/>
          <w:szCs w:val="24"/>
        </w:rPr>
      </w:pPr>
      <w:r w:rsidRPr="006E6D64">
        <w:rPr>
          <w:rFonts w:ascii="Arial" w:hAnsi="Arial" w:cs="Arial"/>
          <w:iCs/>
          <w:sz w:val="24"/>
          <w:szCs w:val="24"/>
        </w:rPr>
        <w:t xml:space="preserve">Presentation of findings from quantitative and qualitative research with food bank users </w:t>
      </w:r>
    </w:p>
    <w:p w:rsidR="00C20CF2" w:rsidRPr="006E6D64" w:rsidRDefault="00C20CF2" w:rsidP="003C1A16">
      <w:pPr>
        <w:pStyle w:val="ListParagraph"/>
        <w:numPr>
          <w:ilvl w:val="0"/>
          <w:numId w:val="35"/>
        </w:numPr>
        <w:rPr>
          <w:rFonts w:ascii="Arial" w:hAnsi="Arial" w:cs="Arial"/>
          <w:iCs/>
          <w:sz w:val="24"/>
          <w:szCs w:val="24"/>
        </w:rPr>
      </w:pPr>
      <w:r w:rsidRPr="006E6D64">
        <w:rPr>
          <w:rFonts w:ascii="Arial" w:hAnsi="Arial" w:cs="Arial"/>
          <w:iCs/>
          <w:sz w:val="24"/>
          <w:szCs w:val="24"/>
        </w:rPr>
        <w:t xml:space="preserve">Draft final report of all findings </w:t>
      </w:r>
    </w:p>
    <w:p w:rsidR="00C20CF2" w:rsidRPr="006E6D64" w:rsidRDefault="00C20CF2" w:rsidP="003C1A16">
      <w:pPr>
        <w:pStyle w:val="ListParagraph"/>
        <w:numPr>
          <w:ilvl w:val="0"/>
          <w:numId w:val="35"/>
        </w:numPr>
        <w:rPr>
          <w:rFonts w:ascii="Arial" w:hAnsi="Arial" w:cs="Arial"/>
          <w:iCs/>
          <w:sz w:val="24"/>
          <w:szCs w:val="24"/>
        </w:rPr>
      </w:pPr>
      <w:r w:rsidRPr="006E6D64">
        <w:rPr>
          <w:rFonts w:ascii="Arial" w:hAnsi="Arial" w:cs="Arial"/>
          <w:iCs/>
          <w:sz w:val="24"/>
          <w:szCs w:val="24"/>
        </w:rPr>
        <w:t>Final report for publication.</w:t>
      </w:r>
    </w:p>
    <w:p w:rsidR="00C20CF2" w:rsidRPr="006E6D64" w:rsidRDefault="00C20CF2" w:rsidP="00C20CF2">
      <w:pPr>
        <w:rPr>
          <w:rFonts w:ascii="Arial" w:hAnsi="Arial" w:cs="Arial"/>
          <w:b/>
          <w:iCs/>
        </w:rPr>
      </w:pPr>
    </w:p>
    <w:p w:rsidR="00F712E9" w:rsidRPr="003136F0" w:rsidRDefault="00E2370B" w:rsidP="00F712E9">
      <w:pPr>
        <w:pStyle w:val="Heading1"/>
        <w:rPr>
          <w:rFonts w:ascii="Arial" w:hAnsi="Arial" w:cs="Arial"/>
          <w:b/>
          <w:color w:val="auto"/>
          <w:sz w:val="28"/>
        </w:rPr>
      </w:pPr>
      <w:r w:rsidRPr="003136F0">
        <w:rPr>
          <w:rFonts w:ascii="Arial" w:hAnsi="Arial" w:cs="Arial"/>
          <w:b/>
          <w:color w:val="auto"/>
          <w:sz w:val="28"/>
        </w:rPr>
        <w:t>Secondment</w:t>
      </w:r>
      <w:r w:rsidR="00F712E9" w:rsidRPr="003136F0">
        <w:rPr>
          <w:rFonts w:ascii="Arial" w:hAnsi="Arial" w:cs="Arial"/>
          <w:b/>
          <w:color w:val="auto"/>
          <w:sz w:val="28"/>
        </w:rPr>
        <w:t xml:space="preserve"> Details</w:t>
      </w:r>
    </w:p>
    <w:p w:rsidR="00A91A9A" w:rsidRDefault="00A91A9A" w:rsidP="00F712E9">
      <w:pPr>
        <w:rPr>
          <w:rFonts w:ascii="Arial" w:hAnsi="Arial" w:cs="Arial"/>
          <w:b/>
          <w:sz w:val="24"/>
          <w:szCs w:val="24"/>
        </w:rPr>
      </w:pPr>
    </w:p>
    <w:p w:rsidR="00A91A9A" w:rsidRDefault="00F712E9" w:rsidP="00F712E9">
      <w:pPr>
        <w:rPr>
          <w:rFonts w:ascii="Arial" w:hAnsi="Arial" w:cs="Arial"/>
          <w:b/>
          <w:sz w:val="24"/>
          <w:szCs w:val="24"/>
        </w:rPr>
      </w:pPr>
      <w:r w:rsidRPr="003136F0">
        <w:rPr>
          <w:rFonts w:ascii="Arial" w:hAnsi="Arial" w:cs="Arial"/>
          <w:b/>
          <w:sz w:val="24"/>
          <w:szCs w:val="24"/>
        </w:rPr>
        <w:t>Duration and timing of secondment:</w:t>
      </w:r>
    </w:p>
    <w:p w:rsidR="00F712E9" w:rsidRPr="00A91A9A" w:rsidRDefault="00F712E9" w:rsidP="00A91A9A">
      <w:pPr>
        <w:pStyle w:val="ListParagraph"/>
        <w:numPr>
          <w:ilvl w:val="0"/>
          <w:numId w:val="20"/>
        </w:numPr>
        <w:rPr>
          <w:rFonts w:ascii="Arial" w:hAnsi="Arial" w:cs="Arial"/>
          <w:sz w:val="24"/>
          <w:szCs w:val="24"/>
        </w:rPr>
      </w:pPr>
      <w:r w:rsidRPr="00A91A9A">
        <w:rPr>
          <w:rFonts w:ascii="Arial" w:hAnsi="Arial" w:cs="Arial"/>
          <w:sz w:val="24"/>
          <w:szCs w:val="24"/>
        </w:rPr>
        <w:t>3 months duration. Starting as soon as possible but with potential for flexibility.</w:t>
      </w:r>
    </w:p>
    <w:p w:rsidR="00A91A9A" w:rsidRDefault="00A91A9A" w:rsidP="00F712E9">
      <w:pPr>
        <w:rPr>
          <w:rFonts w:ascii="Arial" w:hAnsi="Arial" w:cs="Arial"/>
          <w:b/>
          <w:sz w:val="24"/>
          <w:szCs w:val="24"/>
        </w:rPr>
      </w:pPr>
    </w:p>
    <w:p w:rsidR="00344132" w:rsidRDefault="00344132" w:rsidP="00344132">
      <w:pPr>
        <w:rPr>
          <w:rFonts w:ascii="Arial" w:hAnsi="Arial" w:cs="Arial"/>
          <w:sz w:val="24"/>
          <w:szCs w:val="24"/>
        </w:rPr>
      </w:pPr>
      <w:r w:rsidRPr="003136F0">
        <w:rPr>
          <w:rFonts w:ascii="Arial" w:hAnsi="Arial" w:cs="Arial"/>
          <w:b/>
          <w:sz w:val="24"/>
          <w:szCs w:val="24"/>
        </w:rPr>
        <w:t>Location and travel:</w:t>
      </w:r>
      <w:r w:rsidRPr="003136F0">
        <w:rPr>
          <w:rFonts w:ascii="Arial" w:hAnsi="Arial" w:cs="Arial"/>
          <w:sz w:val="24"/>
          <w:szCs w:val="24"/>
        </w:rPr>
        <w:t xml:space="preserve"> </w:t>
      </w:r>
    </w:p>
    <w:p w:rsidR="00344132" w:rsidRDefault="00344132" w:rsidP="00344132">
      <w:pPr>
        <w:spacing w:after="200" w:line="276" w:lineRule="auto"/>
        <w:jc w:val="both"/>
        <w:rPr>
          <w:rFonts w:ascii="Arial" w:hAnsi="Arial" w:cs="Arial"/>
          <w:sz w:val="24"/>
          <w:szCs w:val="24"/>
        </w:rPr>
      </w:pPr>
      <w:r w:rsidRPr="003136F0">
        <w:rPr>
          <w:rFonts w:ascii="Arial" w:hAnsi="Arial" w:cs="Arial"/>
          <w:sz w:val="24"/>
          <w:szCs w:val="24"/>
        </w:rPr>
        <w:t xml:space="preserve">The DWP analytical community relies on flexible and inclusive working practices, as all teams are cross-site and multi-location. </w:t>
      </w:r>
    </w:p>
    <w:p w:rsidR="00344132" w:rsidRDefault="00344132" w:rsidP="00344132">
      <w:pPr>
        <w:spacing w:after="200" w:line="276" w:lineRule="auto"/>
        <w:jc w:val="both"/>
        <w:rPr>
          <w:rFonts w:ascii="Arial" w:hAnsi="Arial" w:cs="Arial"/>
          <w:sz w:val="24"/>
          <w:szCs w:val="24"/>
        </w:rPr>
      </w:pPr>
      <w:r w:rsidRPr="003136F0">
        <w:rPr>
          <w:rFonts w:ascii="Arial" w:hAnsi="Arial" w:cs="Arial"/>
          <w:sz w:val="24"/>
          <w:szCs w:val="24"/>
        </w:rPr>
        <w:lastRenderedPageBreak/>
        <w:t>The successful candidate will be able to work flexibly</w:t>
      </w:r>
      <w:r>
        <w:rPr>
          <w:rFonts w:ascii="Arial" w:hAnsi="Arial" w:cs="Arial"/>
          <w:sz w:val="24"/>
          <w:szCs w:val="24"/>
        </w:rPr>
        <w:t xml:space="preserve"> between</w:t>
      </w:r>
      <w:r w:rsidRPr="003136F0">
        <w:rPr>
          <w:rFonts w:ascii="Arial" w:hAnsi="Arial" w:cs="Arial"/>
          <w:sz w:val="24"/>
          <w:szCs w:val="24"/>
        </w:rPr>
        <w:t xml:space="preserve"> their home location </w:t>
      </w:r>
      <w:r>
        <w:rPr>
          <w:rFonts w:ascii="Arial" w:hAnsi="Arial" w:cs="Arial"/>
          <w:sz w:val="24"/>
          <w:szCs w:val="24"/>
        </w:rPr>
        <w:t>and in</w:t>
      </w:r>
      <w:r w:rsidRPr="003136F0">
        <w:rPr>
          <w:rFonts w:ascii="Arial" w:hAnsi="Arial" w:cs="Arial"/>
          <w:sz w:val="24"/>
          <w:szCs w:val="24"/>
        </w:rPr>
        <w:t xml:space="preserve"> DWP offices in London, Leeds, Sheffield or Newcastle. </w:t>
      </w:r>
    </w:p>
    <w:p w:rsidR="00344132" w:rsidRPr="00A91A9A" w:rsidRDefault="00344132" w:rsidP="00344132">
      <w:pPr>
        <w:spacing w:after="200" w:line="276" w:lineRule="auto"/>
        <w:jc w:val="both"/>
        <w:rPr>
          <w:rFonts w:ascii="Arial" w:hAnsi="Arial" w:cs="Arial"/>
          <w:sz w:val="24"/>
          <w:szCs w:val="24"/>
        </w:rPr>
      </w:pPr>
      <w:r w:rsidRPr="000D1D2E">
        <w:rPr>
          <w:rFonts w:ascii="Arial" w:hAnsi="Arial" w:cs="Arial"/>
          <w:sz w:val="24"/>
          <w:szCs w:val="24"/>
        </w:rPr>
        <w:t>Some travel may be needed to help conduct any face to face interviews/ meetings associated with the qualitative research. Travel</w:t>
      </w:r>
      <w:r w:rsidRPr="003136F0">
        <w:rPr>
          <w:rFonts w:ascii="Arial" w:hAnsi="Arial" w:cs="Arial"/>
          <w:sz w:val="24"/>
          <w:szCs w:val="24"/>
        </w:rPr>
        <w:t xml:space="preserve"> and related expenses, whilst in post, will be covered by DWP.</w:t>
      </w:r>
    </w:p>
    <w:p w:rsidR="00344132" w:rsidRDefault="00344132" w:rsidP="00344132">
      <w:pPr>
        <w:spacing w:after="200" w:line="276" w:lineRule="auto"/>
        <w:jc w:val="both"/>
        <w:rPr>
          <w:rFonts w:ascii="Arial" w:hAnsi="Arial" w:cs="Arial"/>
          <w:sz w:val="24"/>
          <w:szCs w:val="24"/>
        </w:rPr>
      </w:pPr>
      <w:r>
        <w:rPr>
          <w:rFonts w:ascii="Arial" w:hAnsi="Arial" w:cs="Arial"/>
          <w:sz w:val="24"/>
          <w:szCs w:val="24"/>
        </w:rPr>
        <w:t>A</w:t>
      </w:r>
      <w:r w:rsidRPr="003136F0">
        <w:rPr>
          <w:rFonts w:ascii="Arial" w:hAnsi="Arial" w:cs="Arial"/>
          <w:sz w:val="24"/>
          <w:szCs w:val="24"/>
        </w:rPr>
        <w:t xml:space="preserve">ll team meeting are conducted in a geographically inclusive way using videoconferencing and teleconferencing to facilitate flexible working. </w:t>
      </w:r>
    </w:p>
    <w:p w:rsidR="00344132" w:rsidRDefault="00344132" w:rsidP="00344132"/>
    <w:p w:rsidR="00C5219D" w:rsidRDefault="00C5219D" w:rsidP="00C5219D">
      <w:pPr>
        <w:pStyle w:val="Heading1"/>
        <w:rPr>
          <w:rFonts w:ascii="Arial" w:hAnsi="Arial" w:cs="Arial"/>
          <w:b/>
          <w:color w:val="auto"/>
          <w:sz w:val="28"/>
        </w:rPr>
      </w:pPr>
      <w:r>
        <w:rPr>
          <w:rFonts w:ascii="Arial" w:hAnsi="Arial" w:cs="Arial"/>
          <w:b/>
          <w:color w:val="auto"/>
          <w:sz w:val="28"/>
        </w:rPr>
        <w:t>How will applicants be assessed?</w:t>
      </w:r>
    </w:p>
    <w:p w:rsidR="00C5219D" w:rsidRDefault="00C5219D" w:rsidP="00C5219D">
      <w:pPr>
        <w:spacing w:after="200" w:line="276" w:lineRule="auto"/>
        <w:jc w:val="both"/>
        <w:rPr>
          <w:rFonts w:ascii="Arial" w:hAnsi="Arial" w:cs="Arial"/>
          <w:sz w:val="24"/>
          <w:szCs w:val="24"/>
        </w:rPr>
      </w:pPr>
      <w:r>
        <w:rPr>
          <w:rFonts w:ascii="Arial" w:hAnsi="Arial" w:cs="Arial"/>
          <w:sz w:val="24"/>
          <w:szCs w:val="24"/>
        </w:rPr>
        <w:t xml:space="preserve">Candidates will be shortlisted on the basis of information provided within the application form. Shortlisted candidates will be invited to an informal telephone interview. </w:t>
      </w:r>
    </w:p>
    <w:p w:rsidR="00C5219D" w:rsidRDefault="00C5219D" w:rsidP="00C5219D">
      <w:pPr>
        <w:spacing w:after="200" w:line="276" w:lineRule="auto"/>
        <w:jc w:val="both"/>
        <w:rPr>
          <w:rFonts w:ascii="Arial" w:hAnsi="Arial" w:cs="Arial"/>
          <w:sz w:val="24"/>
          <w:szCs w:val="24"/>
        </w:rPr>
      </w:pPr>
      <w:r>
        <w:rPr>
          <w:rFonts w:ascii="Arial" w:hAnsi="Arial" w:cs="Arial"/>
          <w:sz w:val="24"/>
          <w:szCs w:val="24"/>
        </w:rPr>
        <w:t>Within the application form and if invited to interview, applicants will need to demonstrate a detailed understanding of qualitative research and analysis methods, and approaches to reviewing and assimilating evidence from different sources.</w:t>
      </w:r>
    </w:p>
    <w:p w:rsidR="00C5219D" w:rsidRDefault="00C5219D" w:rsidP="00C5219D">
      <w:pPr>
        <w:spacing w:after="200" w:line="276" w:lineRule="auto"/>
        <w:jc w:val="both"/>
        <w:rPr>
          <w:rFonts w:ascii="Arial" w:hAnsi="Arial" w:cs="Arial"/>
          <w:sz w:val="24"/>
          <w:szCs w:val="24"/>
        </w:rPr>
      </w:pPr>
      <w:r>
        <w:rPr>
          <w:rFonts w:ascii="Arial" w:hAnsi="Arial" w:cs="Arial"/>
          <w:sz w:val="24"/>
          <w:szCs w:val="24"/>
        </w:rPr>
        <w:t>Candidates will be expected to be able to provide examples of where they have demonstrated these skills sets both at application and at interview stage.</w:t>
      </w:r>
    </w:p>
    <w:p w:rsidR="00C5219D" w:rsidRDefault="00C5219D" w:rsidP="00C5219D">
      <w:pPr>
        <w:spacing w:after="200" w:line="276" w:lineRule="auto"/>
        <w:jc w:val="both"/>
        <w:rPr>
          <w:rFonts w:ascii="Arial" w:hAnsi="Arial" w:cs="Arial"/>
          <w:sz w:val="24"/>
          <w:szCs w:val="24"/>
        </w:rPr>
      </w:pPr>
      <w:r>
        <w:rPr>
          <w:rFonts w:ascii="Arial" w:hAnsi="Arial" w:cs="Arial"/>
          <w:sz w:val="24"/>
          <w:szCs w:val="24"/>
        </w:rPr>
        <w:t>Candidates will not be asked to give a presentation.</w:t>
      </w:r>
    </w:p>
    <w:p w:rsidR="00C5219D" w:rsidRDefault="00C5219D" w:rsidP="00C5219D">
      <w:pPr>
        <w:pStyle w:val="Heading1"/>
        <w:rPr>
          <w:rFonts w:ascii="Arial" w:hAnsi="Arial" w:cs="Arial"/>
          <w:b/>
          <w:color w:val="auto"/>
          <w:sz w:val="28"/>
        </w:rPr>
      </w:pPr>
      <w:r>
        <w:rPr>
          <w:rFonts w:ascii="Arial" w:hAnsi="Arial" w:cs="Arial"/>
          <w:b/>
          <w:color w:val="auto"/>
          <w:sz w:val="28"/>
        </w:rPr>
        <w:t>How to apply</w:t>
      </w:r>
    </w:p>
    <w:p w:rsidR="00C5219D" w:rsidRDefault="00C5219D" w:rsidP="00C5219D">
      <w:pPr>
        <w:rPr>
          <w:rFonts w:ascii="Arial" w:hAnsi="Arial" w:cs="Arial"/>
          <w:sz w:val="24"/>
          <w:szCs w:val="24"/>
        </w:rPr>
      </w:pPr>
      <w:r>
        <w:rPr>
          <w:rFonts w:ascii="Arial" w:hAnsi="Arial" w:cs="Arial"/>
          <w:sz w:val="24"/>
          <w:szCs w:val="24"/>
        </w:rPr>
        <w:t>Please submit:</w:t>
      </w:r>
    </w:p>
    <w:p w:rsidR="00C5219D" w:rsidRDefault="00C5219D" w:rsidP="00C5219D">
      <w:pPr>
        <w:pStyle w:val="ListParagraph"/>
        <w:numPr>
          <w:ilvl w:val="0"/>
          <w:numId w:val="36"/>
        </w:numPr>
        <w:rPr>
          <w:rFonts w:ascii="Arial" w:hAnsi="Arial" w:cs="Arial"/>
          <w:sz w:val="24"/>
          <w:szCs w:val="24"/>
        </w:rPr>
      </w:pPr>
      <w:r>
        <w:rPr>
          <w:rFonts w:ascii="Arial" w:hAnsi="Arial" w:cs="Arial"/>
          <w:sz w:val="24"/>
          <w:szCs w:val="24"/>
        </w:rPr>
        <w:t>CV</w:t>
      </w:r>
    </w:p>
    <w:p w:rsidR="00C5219D" w:rsidRDefault="00C5219D" w:rsidP="00C5219D">
      <w:pPr>
        <w:pStyle w:val="ListParagraph"/>
        <w:numPr>
          <w:ilvl w:val="0"/>
          <w:numId w:val="36"/>
        </w:numPr>
        <w:rPr>
          <w:rFonts w:ascii="Arial" w:hAnsi="Arial" w:cs="Arial"/>
          <w:sz w:val="24"/>
          <w:szCs w:val="24"/>
        </w:rPr>
      </w:pPr>
      <w:r>
        <w:rPr>
          <w:rFonts w:ascii="Arial" w:hAnsi="Arial" w:cs="Arial"/>
          <w:sz w:val="24"/>
          <w:szCs w:val="24"/>
        </w:rPr>
        <w:t xml:space="preserve">Completed application form and </w:t>
      </w:r>
    </w:p>
    <w:p w:rsidR="00C5219D" w:rsidRDefault="00C5219D" w:rsidP="00C5219D">
      <w:pPr>
        <w:pStyle w:val="ListParagraph"/>
        <w:numPr>
          <w:ilvl w:val="0"/>
          <w:numId w:val="36"/>
        </w:numPr>
        <w:rPr>
          <w:rFonts w:ascii="Arial" w:hAnsi="Arial" w:cs="Arial"/>
          <w:sz w:val="24"/>
          <w:szCs w:val="24"/>
        </w:rPr>
      </w:pPr>
      <w:r>
        <w:rPr>
          <w:rFonts w:ascii="Arial" w:hAnsi="Arial" w:cs="Arial"/>
          <w:sz w:val="24"/>
          <w:szCs w:val="24"/>
        </w:rPr>
        <w:t xml:space="preserve">Completed permissions form </w:t>
      </w:r>
    </w:p>
    <w:p w:rsidR="00C5219D" w:rsidRDefault="00C5219D" w:rsidP="00C5219D">
      <w:pPr>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xml:space="preserve"> email to </w:t>
      </w:r>
      <w:hyperlink r:id="rId9" w:history="1">
        <w:r>
          <w:rPr>
            <w:rStyle w:val="Hyperlink"/>
            <w:rFonts w:ascii="Arial" w:hAnsi="Arial" w:cs="Arial"/>
            <w:sz w:val="24"/>
            <w:szCs w:val="24"/>
          </w:rPr>
          <w:t>evidence.strategyteam@dwp.gsi.gov.uk</w:t>
        </w:r>
      </w:hyperlink>
      <w:r>
        <w:rPr>
          <w:rFonts w:ascii="Arial" w:hAnsi="Arial" w:cs="Arial"/>
          <w:sz w:val="24"/>
          <w:szCs w:val="24"/>
        </w:rPr>
        <w:t>. Please also use this email address for any enquiries related to the secondment.</w:t>
      </w:r>
    </w:p>
    <w:p w:rsidR="00C5219D" w:rsidRDefault="00C5219D" w:rsidP="00C5219D">
      <w:pPr>
        <w:rPr>
          <w:rFonts w:ascii="Arial" w:hAnsi="Arial" w:cs="Arial"/>
          <w:b/>
          <w:sz w:val="28"/>
          <w:szCs w:val="28"/>
        </w:rPr>
      </w:pPr>
    </w:p>
    <w:p w:rsidR="00C5219D" w:rsidRDefault="00C5219D" w:rsidP="00C5219D">
      <w:pPr>
        <w:rPr>
          <w:rFonts w:ascii="Arial" w:hAnsi="Arial" w:cs="Arial"/>
          <w:b/>
          <w:sz w:val="28"/>
          <w:szCs w:val="28"/>
        </w:rPr>
      </w:pPr>
      <w:r>
        <w:rPr>
          <w:rFonts w:ascii="Arial" w:hAnsi="Arial" w:cs="Arial"/>
          <w:b/>
          <w:sz w:val="28"/>
          <w:szCs w:val="28"/>
          <w:highlight w:val="yellow"/>
        </w:rPr>
        <w:t>Deadline for applications: Midday, Monday 28</w:t>
      </w:r>
      <w:r>
        <w:rPr>
          <w:rFonts w:ascii="Arial" w:hAnsi="Arial" w:cs="Arial"/>
          <w:b/>
          <w:sz w:val="28"/>
          <w:szCs w:val="28"/>
          <w:highlight w:val="yellow"/>
          <w:vertAlign w:val="superscript"/>
        </w:rPr>
        <w:t>th</w:t>
      </w:r>
      <w:r>
        <w:rPr>
          <w:rFonts w:ascii="Arial" w:hAnsi="Arial" w:cs="Arial"/>
          <w:b/>
          <w:sz w:val="28"/>
          <w:szCs w:val="28"/>
          <w:highlight w:val="yellow"/>
        </w:rPr>
        <w:t xml:space="preserve"> May 2018</w:t>
      </w:r>
    </w:p>
    <w:p w:rsidR="00A11B57" w:rsidRPr="00A11B57" w:rsidRDefault="00A11B57" w:rsidP="00C5219D">
      <w:pPr>
        <w:pStyle w:val="Heading1"/>
        <w:rPr>
          <w:rFonts w:ascii="Arial" w:hAnsi="Arial" w:cs="Arial"/>
          <w:b/>
          <w:sz w:val="28"/>
          <w:szCs w:val="28"/>
        </w:rPr>
      </w:pPr>
      <w:bookmarkStart w:id="0" w:name="_GoBack"/>
      <w:bookmarkEnd w:id="0"/>
    </w:p>
    <w:sectPr w:rsidR="00A11B57" w:rsidRPr="00A11B57" w:rsidSect="00F712E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B90" w:rsidRDefault="00D75B90" w:rsidP="00F4749B">
      <w:r>
        <w:separator/>
      </w:r>
    </w:p>
  </w:endnote>
  <w:endnote w:type="continuationSeparator" w:id="0">
    <w:p w:rsidR="00D75B90" w:rsidRDefault="00D75B90" w:rsidP="00F4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834618"/>
      <w:docPartObj>
        <w:docPartGallery w:val="Page Numbers (Bottom of Page)"/>
        <w:docPartUnique/>
      </w:docPartObj>
    </w:sdtPr>
    <w:sdtEndPr>
      <w:rPr>
        <w:noProof/>
      </w:rPr>
    </w:sdtEndPr>
    <w:sdtContent>
      <w:p w:rsidR="00876218" w:rsidRDefault="00876218">
        <w:pPr>
          <w:pStyle w:val="Footer"/>
          <w:jc w:val="right"/>
        </w:pPr>
        <w:r>
          <w:fldChar w:fldCharType="begin"/>
        </w:r>
        <w:r>
          <w:instrText xml:space="preserve"> PAGE   \* MERGEFORMAT </w:instrText>
        </w:r>
        <w:r>
          <w:fldChar w:fldCharType="separate"/>
        </w:r>
        <w:r w:rsidR="00C5219D">
          <w:rPr>
            <w:noProof/>
          </w:rPr>
          <w:t>5</w:t>
        </w:r>
        <w:r>
          <w:rPr>
            <w:noProof/>
          </w:rPr>
          <w:fldChar w:fldCharType="end"/>
        </w:r>
      </w:p>
    </w:sdtContent>
  </w:sdt>
  <w:p w:rsidR="00876218" w:rsidRDefault="00876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B90" w:rsidRDefault="00D75B90" w:rsidP="00F4749B">
      <w:r>
        <w:separator/>
      </w:r>
    </w:p>
  </w:footnote>
  <w:footnote w:type="continuationSeparator" w:id="0">
    <w:p w:rsidR="00D75B90" w:rsidRDefault="00D75B90" w:rsidP="00F47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2138"/>
    <w:multiLevelType w:val="hybridMultilevel"/>
    <w:tmpl w:val="18BE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E74F6"/>
    <w:multiLevelType w:val="hybridMultilevel"/>
    <w:tmpl w:val="F9FA82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30300"/>
    <w:multiLevelType w:val="hybridMultilevel"/>
    <w:tmpl w:val="7F52E6AE"/>
    <w:lvl w:ilvl="0" w:tplc="0C09000F">
      <w:start w:val="1"/>
      <w:numFmt w:val="decimal"/>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0AB02398"/>
    <w:multiLevelType w:val="hybridMultilevel"/>
    <w:tmpl w:val="537C4F40"/>
    <w:lvl w:ilvl="0" w:tplc="53E038D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EC22C7"/>
    <w:multiLevelType w:val="hybridMultilevel"/>
    <w:tmpl w:val="EA2A1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FD93911"/>
    <w:multiLevelType w:val="hybridMultilevel"/>
    <w:tmpl w:val="EBB2A9C6"/>
    <w:lvl w:ilvl="0" w:tplc="08090001">
      <w:start w:val="1"/>
      <w:numFmt w:val="bullet"/>
      <w:lvlText w:val=""/>
      <w:lvlJc w:val="left"/>
      <w:pPr>
        <w:ind w:left="1080" w:hanging="360"/>
      </w:pPr>
      <w:rPr>
        <w:rFonts w:ascii="Symbol" w:hAnsi="Symbol" w:hint="default"/>
        <w:b w:val="0"/>
        <w:color w:val="auto"/>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F606CE"/>
    <w:multiLevelType w:val="hybridMultilevel"/>
    <w:tmpl w:val="844A71EE"/>
    <w:lvl w:ilvl="0" w:tplc="08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356E28"/>
    <w:multiLevelType w:val="hybridMultilevel"/>
    <w:tmpl w:val="8916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1522ED"/>
    <w:multiLevelType w:val="hybridMultilevel"/>
    <w:tmpl w:val="F94E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94087E"/>
    <w:multiLevelType w:val="hybridMultilevel"/>
    <w:tmpl w:val="FED4CD5A"/>
    <w:lvl w:ilvl="0" w:tplc="53E038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0F6053"/>
    <w:multiLevelType w:val="hybridMultilevel"/>
    <w:tmpl w:val="C16A9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6F5A53"/>
    <w:multiLevelType w:val="hybridMultilevel"/>
    <w:tmpl w:val="C656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784E7C"/>
    <w:multiLevelType w:val="hybridMultilevel"/>
    <w:tmpl w:val="7536FF1E"/>
    <w:lvl w:ilvl="0" w:tplc="53E038D2">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2A5499"/>
    <w:multiLevelType w:val="hybridMultilevel"/>
    <w:tmpl w:val="555E6A98"/>
    <w:lvl w:ilvl="0" w:tplc="C354F58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8169DF"/>
    <w:multiLevelType w:val="hybridMultilevel"/>
    <w:tmpl w:val="1584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CD549B"/>
    <w:multiLevelType w:val="hybridMultilevel"/>
    <w:tmpl w:val="BC3E0F4C"/>
    <w:lvl w:ilvl="0" w:tplc="08090013">
      <w:start w:val="1"/>
      <w:numFmt w:val="upperRoman"/>
      <w:lvlText w:val="%1."/>
      <w:lvlJc w:val="righ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nsid w:val="3A354C05"/>
    <w:multiLevelType w:val="hybridMultilevel"/>
    <w:tmpl w:val="2CA64BE4"/>
    <w:lvl w:ilvl="0" w:tplc="53E038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422770"/>
    <w:multiLevelType w:val="hybridMultilevel"/>
    <w:tmpl w:val="5A4C6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03689E"/>
    <w:multiLevelType w:val="hybridMultilevel"/>
    <w:tmpl w:val="6270CD16"/>
    <w:lvl w:ilvl="0" w:tplc="C354F58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43039AA"/>
    <w:multiLevelType w:val="hybridMultilevel"/>
    <w:tmpl w:val="BD805C66"/>
    <w:lvl w:ilvl="0" w:tplc="53E038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A64D8B"/>
    <w:multiLevelType w:val="hybridMultilevel"/>
    <w:tmpl w:val="F39654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546165B"/>
    <w:multiLevelType w:val="hybridMultilevel"/>
    <w:tmpl w:val="B3C2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425037"/>
    <w:multiLevelType w:val="hybridMultilevel"/>
    <w:tmpl w:val="3B80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905AE9"/>
    <w:multiLevelType w:val="hybridMultilevel"/>
    <w:tmpl w:val="BAAC07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nsid w:val="656A6E51"/>
    <w:multiLevelType w:val="hybridMultilevel"/>
    <w:tmpl w:val="B7ACE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6A46FF7"/>
    <w:multiLevelType w:val="hybridMultilevel"/>
    <w:tmpl w:val="BC3E0F4C"/>
    <w:lvl w:ilvl="0" w:tplc="08090013">
      <w:start w:val="1"/>
      <w:numFmt w:val="upperRoman"/>
      <w:lvlText w:val="%1."/>
      <w:lvlJc w:val="righ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6">
    <w:nsid w:val="68DA4CC3"/>
    <w:multiLevelType w:val="hybridMultilevel"/>
    <w:tmpl w:val="555E6A98"/>
    <w:lvl w:ilvl="0" w:tplc="C354F58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E25B25"/>
    <w:multiLevelType w:val="hybridMultilevel"/>
    <w:tmpl w:val="BB424B86"/>
    <w:lvl w:ilvl="0" w:tplc="53E038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760FF6"/>
    <w:multiLevelType w:val="hybridMultilevel"/>
    <w:tmpl w:val="DA02175C"/>
    <w:lvl w:ilvl="0" w:tplc="F982B9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DE5E3F"/>
    <w:multiLevelType w:val="hybridMultilevel"/>
    <w:tmpl w:val="0F5C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FA7DF6"/>
    <w:multiLevelType w:val="hybridMultilevel"/>
    <w:tmpl w:val="1496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392889"/>
    <w:multiLevelType w:val="hybridMultilevel"/>
    <w:tmpl w:val="96F25018"/>
    <w:lvl w:ilvl="0" w:tplc="53E038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7C76F36"/>
    <w:multiLevelType w:val="hybridMultilevel"/>
    <w:tmpl w:val="2166B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201496"/>
    <w:multiLevelType w:val="hybridMultilevel"/>
    <w:tmpl w:val="BF6E8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A1C56EA"/>
    <w:multiLevelType w:val="hybridMultilevel"/>
    <w:tmpl w:val="F39654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21180F"/>
    <w:multiLevelType w:val="hybridMultilevel"/>
    <w:tmpl w:val="5FAEE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1"/>
  </w:num>
  <w:num w:numId="4">
    <w:abstractNumId w:val="29"/>
  </w:num>
  <w:num w:numId="5">
    <w:abstractNumId w:val="22"/>
  </w:num>
  <w:num w:numId="6">
    <w:abstractNumId w:val="0"/>
  </w:num>
  <w:num w:numId="7">
    <w:abstractNumId w:val="7"/>
  </w:num>
  <w:num w:numId="8">
    <w:abstractNumId w:val="10"/>
  </w:num>
  <w:num w:numId="9">
    <w:abstractNumId w:val="34"/>
  </w:num>
  <w:num w:numId="10">
    <w:abstractNumId w:val="26"/>
  </w:num>
  <w:num w:numId="11">
    <w:abstractNumId w:val="4"/>
  </w:num>
  <w:num w:numId="12">
    <w:abstractNumId w:val="33"/>
  </w:num>
  <w:num w:numId="13">
    <w:abstractNumId w:val="24"/>
  </w:num>
  <w:num w:numId="14">
    <w:abstractNumId w:val="23"/>
  </w:num>
  <w:num w:numId="15">
    <w:abstractNumId w:val="2"/>
  </w:num>
  <w:num w:numId="16">
    <w:abstractNumId w:val="25"/>
  </w:num>
  <w:num w:numId="17">
    <w:abstractNumId w:val="15"/>
  </w:num>
  <w:num w:numId="18">
    <w:abstractNumId w:val="17"/>
  </w:num>
  <w:num w:numId="19">
    <w:abstractNumId w:val="13"/>
  </w:num>
  <w:num w:numId="20">
    <w:abstractNumId w:val="31"/>
  </w:num>
  <w:num w:numId="21">
    <w:abstractNumId w:val="5"/>
  </w:num>
  <w:num w:numId="22">
    <w:abstractNumId w:val="18"/>
  </w:num>
  <w:num w:numId="23">
    <w:abstractNumId w:val="19"/>
  </w:num>
  <w:num w:numId="24">
    <w:abstractNumId w:val="28"/>
  </w:num>
  <w:num w:numId="25">
    <w:abstractNumId w:val="9"/>
  </w:num>
  <w:num w:numId="26">
    <w:abstractNumId w:val="27"/>
  </w:num>
  <w:num w:numId="27">
    <w:abstractNumId w:val="20"/>
  </w:num>
  <w:num w:numId="28">
    <w:abstractNumId w:val="32"/>
  </w:num>
  <w:num w:numId="29">
    <w:abstractNumId w:val="30"/>
  </w:num>
  <w:num w:numId="30">
    <w:abstractNumId w:val="14"/>
  </w:num>
  <w:num w:numId="31">
    <w:abstractNumId w:val="6"/>
  </w:num>
  <w:num w:numId="32">
    <w:abstractNumId w:val="16"/>
  </w:num>
  <w:num w:numId="33">
    <w:abstractNumId w:val="12"/>
  </w:num>
  <w:num w:numId="34">
    <w:abstractNumId w:val="8"/>
  </w:num>
  <w:num w:numId="35">
    <w:abstractNumId w:val="3"/>
  </w:num>
  <w:num w:numId="36">
    <w:abstractNumId w:val="3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92"/>
    <w:rsid w:val="00005B59"/>
    <w:rsid w:val="000D1D2E"/>
    <w:rsid w:val="000F108A"/>
    <w:rsid w:val="00125121"/>
    <w:rsid w:val="001B11CF"/>
    <w:rsid w:val="001E1941"/>
    <w:rsid w:val="003136F0"/>
    <w:rsid w:val="00344132"/>
    <w:rsid w:val="00363A7B"/>
    <w:rsid w:val="003C1A16"/>
    <w:rsid w:val="003D31A9"/>
    <w:rsid w:val="004229E8"/>
    <w:rsid w:val="004D55EE"/>
    <w:rsid w:val="004E605D"/>
    <w:rsid w:val="00563EAC"/>
    <w:rsid w:val="00631825"/>
    <w:rsid w:val="0064157C"/>
    <w:rsid w:val="006555A9"/>
    <w:rsid w:val="00666BB7"/>
    <w:rsid w:val="006C4873"/>
    <w:rsid w:val="007026B6"/>
    <w:rsid w:val="007043FE"/>
    <w:rsid w:val="007136D2"/>
    <w:rsid w:val="00774861"/>
    <w:rsid w:val="007E7B3A"/>
    <w:rsid w:val="00876218"/>
    <w:rsid w:val="00885C08"/>
    <w:rsid w:val="008A375B"/>
    <w:rsid w:val="009062A7"/>
    <w:rsid w:val="00965601"/>
    <w:rsid w:val="00975292"/>
    <w:rsid w:val="00A11B57"/>
    <w:rsid w:val="00A46877"/>
    <w:rsid w:val="00A677D9"/>
    <w:rsid w:val="00A91A9A"/>
    <w:rsid w:val="00AE501E"/>
    <w:rsid w:val="00B467FB"/>
    <w:rsid w:val="00B73E16"/>
    <w:rsid w:val="00B82C58"/>
    <w:rsid w:val="00C02C0A"/>
    <w:rsid w:val="00C20CF2"/>
    <w:rsid w:val="00C26598"/>
    <w:rsid w:val="00C4384C"/>
    <w:rsid w:val="00C5219D"/>
    <w:rsid w:val="00C54E79"/>
    <w:rsid w:val="00CA3DE7"/>
    <w:rsid w:val="00D24035"/>
    <w:rsid w:val="00D311FF"/>
    <w:rsid w:val="00D70B35"/>
    <w:rsid w:val="00D75B90"/>
    <w:rsid w:val="00E067B9"/>
    <w:rsid w:val="00E13ABC"/>
    <w:rsid w:val="00E2370B"/>
    <w:rsid w:val="00E5571A"/>
    <w:rsid w:val="00EF6655"/>
    <w:rsid w:val="00F471D8"/>
    <w:rsid w:val="00F4749B"/>
    <w:rsid w:val="00F71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DFD79-A9A8-4352-AC4F-AF6E0981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92"/>
    <w:pPr>
      <w:spacing w:after="0" w:line="240" w:lineRule="auto"/>
    </w:pPr>
    <w:rPr>
      <w:rFonts w:ascii="Calibri" w:hAnsi="Calibri" w:cs="Calibri"/>
      <w:sz w:val="22"/>
    </w:rPr>
  </w:style>
  <w:style w:type="paragraph" w:styleId="Heading1">
    <w:name w:val="heading 1"/>
    <w:basedOn w:val="Normal"/>
    <w:next w:val="Normal"/>
    <w:link w:val="Heading1Char"/>
    <w:uiPriority w:val="9"/>
    <w:qFormat/>
    <w:rsid w:val="00F474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74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975292"/>
    <w:pPr>
      <w:ind w:left="720"/>
      <w:contextualSpacing/>
    </w:pPr>
  </w:style>
  <w:style w:type="paragraph" w:styleId="BalloonText">
    <w:name w:val="Balloon Text"/>
    <w:basedOn w:val="Normal"/>
    <w:link w:val="BalloonTextChar"/>
    <w:uiPriority w:val="99"/>
    <w:semiHidden/>
    <w:unhideWhenUsed/>
    <w:rsid w:val="00702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6B6"/>
    <w:rPr>
      <w:rFonts w:ascii="Segoe UI" w:hAnsi="Segoe UI" w:cs="Segoe UI"/>
      <w:sz w:val="18"/>
      <w:szCs w:val="18"/>
    </w:rPr>
  </w:style>
  <w:style w:type="paragraph" w:styleId="Header">
    <w:name w:val="header"/>
    <w:basedOn w:val="Normal"/>
    <w:link w:val="HeaderChar"/>
    <w:uiPriority w:val="99"/>
    <w:unhideWhenUsed/>
    <w:rsid w:val="00F4749B"/>
    <w:pPr>
      <w:tabs>
        <w:tab w:val="center" w:pos="4513"/>
        <w:tab w:val="right" w:pos="9026"/>
      </w:tabs>
    </w:pPr>
  </w:style>
  <w:style w:type="character" w:customStyle="1" w:styleId="HeaderChar">
    <w:name w:val="Header Char"/>
    <w:basedOn w:val="DefaultParagraphFont"/>
    <w:link w:val="Header"/>
    <w:uiPriority w:val="99"/>
    <w:rsid w:val="00F4749B"/>
    <w:rPr>
      <w:rFonts w:ascii="Calibri" w:hAnsi="Calibri" w:cs="Calibri"/>
      <w:sz w:val="22"/>
    </w:rPr>
  </w:style>
  <w:style w:type="paragraph" w:styleId="Footer">
    <w:name w:val="footer"/>
    <w:basedOn w:val="Normal"/>
    <w:link w:val="FooterChar"/>
    <w:uiPriority w:val="99"/>
    <w:unhideWhenUsed/>
    <w:rsid w:val="00F4749B"/>
    <w:pPr>
      <w:tabs>
        <w:tab w:val="center" w:pos="4513"/>
        <w:tab w:val="right" w:pos="9026"/>
      </w:tabs>
    </w:pPr>
  </w:style>
  <w:style w:type="character" w:customStyle="1" w:styleId="FooterChar">
    <w:name w:val="Footer Char"/>
    <w:basedOn w:val="DefaultParagraphFont"/>
    <w:link w:val="Footer"/>
    <w:uiPriority w:val="99"/>
    <w:rsid w:val="00F4749B"/>
    <w:rPr>
      <w:rFonts w:ascii="Calibri" w:hAnsi="Calibri" w:cs="Calibri"/>
      <w:sz w:val="22"/>
    </w:rPr>
  </w:style>
  <w:style w:type="character" w:customStyle="1" w:styleId="Heading1Char">
    <w:name w:val="Heading 1 Char"/>
    <w:basedOn w:val="DefaultParagraphFont"/>
    <w:link w:val="Heading1"/>
    <w:uiPriority w:val="9"/>
    <w:rsid w:val="00F4749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4749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82C58"/>
    <w:rPr>
      <w:color w:val="0000FF"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locked/>
    <w:rsid w:val="001E1941"/>
    <w:rPr>
      <w:rFonts w:ascii="Calibri" w:hAnsi="Calibri" w:cs="Calibri"/>
      <w:sz w:val="22"/>
    </w:rPr>
  </w:style>
  <w:style w:type="character" w:styleId="CommentReference">
    <w:name w:val="annotation reference"/>
    <w:uiPriority w:val="99"/>
    <w:semiHidden/>
    <w:unhideWhenUsed/>
    <w:rsid w:val="00C20CF2"/>
    <w:rPr>
      <w:sz w:val="16"/>
      <w:szCs w:val="16"/>
    </w:rPr>
  </w:style>
  <w:style w:type="paragraph" w:styleId="CommentText">
    <w:name w:val="annotation text"/>
    <w:basedOn w:val="Normal"/>
    <w:link w:val="CommentTextChar"/>
    <w:uiPriority w:val="99"/>
    <w:semiHidden/>
    <w:unhideWhenUsed/>
    <w:rsid w:val="00C20CF2"/>
    <w:rPr>
      <w:rFonts w:ascii="Times New Roman" w:eastAsia="Times New Roman" w:hAnsi="Times New Roman" w:cs="Mangal"/>
      <w:sz w:val="20"/>
      <w:szCs w:val="18"/>
      <w:lang w:eastAsia="en-GB" w:bidi="ks-Deva"/>
    </w:rPr>
  </w:style>
  <w:style w:type="character" w:customStyle="1" w:styleId="CommentTextChar">
    <w:name w:val="Comment Text Char"/>
    <w:basedOn w:val="DefaultParagraphFont"/>
    <w:link w:val="CommentText"/>
    <w:uiPriority w:val="99"/>
    <w:semiHidden/>
    <w:rsid w:val="00C20CF2"/>
    <w:rPr>
      <w:rFonts w:ascii="Times New Roman" w:eastAsia="Times New Roman" w:hAnsi="Times New Roman" w:cs="Mangal"/>
      <w:sz w:val="20"/>
      <w:szCs w:val="18"/>
      <w:lang w:eastAsia="en-GB" w:bidi="ks-Deva"/>
    </w:rPr>
  </w:style>
  <w:style w:type="paragraph" w:styleId="CommentSubject">
    <w:name w:val="annotation subject"/>
    <w:basedOn w:val="CommentText"/>
    <w:next w:val="CommentText"/>
    <w:link w:val="CommentSubjectChar"/>
    <w:uiPriority w:val="99"/>
    <w:semiHidden/>
    <w:unhideWhenUsed/>
    <w:rsid w:val="00C20CF2"/>
    <w:rPr>
      <w:rFonts w:ascii="Calibri" w:eastAsiaTheme="minorHAnsi" w:hAnsi="Calibri" w:cs="Calibri"/>
      <w:b/>
      <w:bCs/>
      <w:szCs w:val="20"/>
      <w:lang w:eastAsia="en-US" w:bidi="ar-SA"/>
    </w:rPr>
  </w:style>
  <w:style w:type="character" w:customStyle="1" w:styleId="CommentSubjectChar">
    <w:name w:val="Comment Subject Char"/>
    <w:basedOn w:val="CommentTextChar"/>
    <w:link w:val="CommentSubject"/>
    <w:uiPriority w:val="99"/>
    <w:semiHidden/>
    <w:rsid w:val="00C20CF2"/>
    <w:rPr>
      <w:rFonts w:ascii="Calibri" w:eastAsia="Times New Roman" w:hAnsi="Calibri" w:cs="Calibri"/>
      <w:b/>
      <w:bCs/>
      <w:sz w:val="20"/>
      <w:szCs w:val="20"/>
      <w:lang w:eastAsia="en-GB" w:bidi="ks-D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98193">
      <w:bodyDiv w:val="1"/>
      <w:marLeft w:val="0"/>
      <w:marRight w:val="0"/>
      <w:marTop w:val="0"/>
      <w:marBottom w:val="0"/>
      <w:divBdr>
        <w:top w:val="none" w:sz="0" w:space="0" w:color="auto"/>
        <w:left w:val="none" w:sz="0" w:space="0" w:color="auto"/>
        <w:bottom w:val="none" w:sz="0" w:space="0" w:color="auto"/>
        <w:right w:val="none" w:sz="0" w:space="0" w:color="auto"/>
      </w:divBdr>
    </w:div>
    <w:div w:id="1275673712">
      <w:bodyDiv w:val="1"/>
      <w:marLeft w:val="0"/>
      <w:marRight w:val="0"/>
      <w:marTop w:val="0"/>
      <w:marBottom w:val="0"/>
      <w:divBdr>
        <w:top w:val="none" w:sz="0" w:space="0" w:color="auto"/>
        <w:left w:val="none" w:sz="0" w:space="0" w:color="auto"/>
        <w:bottom w:val="none" w:sz="0" w:space="0" w:color="auto"/>
        <w:right w:val="none" w:sz="0" w:space="0" w:color="auto"/>
      </w:divBdr>
    </w:div>
    <w:div w:id="19614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0woGAgvHYAhWMzaQKHUzrBHUQjRwIBw&amp;url=https://disabilityconfident.dwp.gov.uk/&amp;psig=AOvVaw0ljiWhE0wmLZjrsxU9bB2H&amp;ust=15168975208695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vidence.strategyteam@dwp.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Morton Annie STRATEGY ANALYST</dc:creator>
  <cp:lastModifiedBy>Flint Ellen STRATEGY ANALYTICAL SERVICES</cp:lastModifiedBy>
  <cp:revision>4</cp:revision>
  <dcterms:created xsi:type="dcterms:W3CDTF">2018-05-10T15:41:00Z</dcterms:created>
  <dcterms:modified xsi:type="dcterms:W3CDTF">2018-05-14T13:59:00Z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